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E" w:rsidRPr="00345F51" w:rsidRDefault="00345F51" w:rsidP="0012388F">
      <w:pPr>
        <w:spacing w:after="600" w:line="240" w:lineRule="auto"/>
        <w:rPr>
          <w:rFonts w:ascii="Arial" w:hAnsi="Arial" w:cs="Arial"/>
          <w:b/>
          <w:color w:val="C00000"/>
          <w:sz w:val="28"/>
          <w:szCs w:val="28"/>
        </w:rPr>
      </w:pPr>
      <w:r w:rsidRPr="00345F51">
        <w:rPr>
          <w:rFonts w:ascii="Arial" w:hAnsi="Arial" w:cs="Arial"/>
          <w:b/>
          <w:color w:val="C00000"/>
          <w:sz w:val="28"/>
          <w:szCs w:val="28"/>
        </w:rPr>
        <w:t xml:space="preserve">V 1. </w:t>
      </w:r>
      <w:r w:rsidR="00235A34">
        <w:rPr>
          <w:rFonts w:ascii="Arial" w:hAnsi="Arial" w:cs="Arial"/>
          <w:b/>
          <w:color w:val="C00000"/>
          <w:sz w:val="28"/>
          <w:szCs w:val="28"/>
        </w:rPr>
        <w:t>pololetí</w:t>
      </w:r>
      <w:r w:rsidR="003C281A">
        <w:rPr>
          <w:rFonts w:ascii="Arial" w:hAnsi="Arial" w:cs="Arial"/>
          <w:b/>
          <w:color w:val="C00000"/>
          <w:sz w:val="28"/>
          <w:szCs w:val="28"/>
        </w:rPr>
        <w:t xml:space="preserve"> 2012</w:t>
      </w:r>
      <w:r w:rsidRPr="00345F51">
        <w:rPr>
          <w:rFonts w:ascii="Arial" w:hAnsi="Arial" w:cs="Arial"/>
          <w:b/>
          <w:color w:val="C00000"/>
          <w:sz w:val="28"/>
          <w:szCs w:val="28"/>
        </w:rPr>
        <w:t xml:space="preserve"> rostly </w:t>
      </w:r>
      <w:r w:rsidR="003C281A">
        <w:rPr>
          <w:rFonts w:ascii="Arial" w:hAnsi="Arial" w:cs="Arial"/>
          <w:b/>
          <w:color w:val="C00000"/>
          <w:sz w:val="28"/>
          <w:szCs w:val="28"/>
        </w:rPr>
        <w:t>výdělky rychleji v</w:t>
      </w:r>
      <w:r w:rsidR="00201739">
        <w:rPr>
          <w:rFonts w:ascii="Arial" w:hAnsi="Arial" w:cs="Arial"/>
          <w:b/>
          <w:color w:val="C00000"/>
          <w:sz w:val="28"/>
          <w:szCs w:val="28"/>
        </w:rPr>
        <w:t>e</w:t>
      </w:r>
      <w:r w:rsidR="003C281A">
        <w:rPr>
          <w:rFonts w:ascii="Arial" w:hAnsi="Arial" w:cs="Arial"/>
          <w:b/>
          <w:color w:val="C00000"/>
          <w:sz w:val="28"/>
          <w:szCs w:val="28"/>
        </w:rPr>
        <w:t> </w:t>
      </w:r>
      <w:r w:rsidR="00201739">
        <w:rPr>
          <w:rFonts w:ascii="Arial" w:hAnsi="Arial" w:cs="Arial"/>
          <w:b/>
          <w:color w:val="C00000"/>
          <w:sz w:val="28"/>
          <w:szCs w:val="28"/>
        </w:rPr>
        <w:t>mzdové</w:t>
      </w:r>
      <w:r w:rsidR="003C281A">
        <w:rPr>
          <w:rFonts w:ascii="Arial" w:hAnsi="Arial" w:cs="Arial"/>
          <w:b/>
          <w:color w:val="C00000"/>
          <w:sz w:val="28"/>
          <w:szCs w:val="28"/>
        </w:rPr>
        <w:t xml:space="preserve"> sféře</w:t>
      </w:r>
    </w:p>
    <w:p w:rsidR="000C45BF" w:rsidRPr="00286A0E" w:rsidRDefault="004D417E" w:rsidP="00507AEB">
      <w:pPr>
        <w:spacing w:before="120" w:after="240" w:line="240" w:lineRule="auto"/>
        <w:jc w:val="both"/>
        <w:rPr>
          <w:rFonts w:ascii="Arial" w:hAnsi="Arial" w:cs="Arial"/>
          <w:b/>
          <w:bCs/>
          <w:iCs/>
          <w:color w:val="D99594"/>
          <w:sz w:val="24"/>
          <w:szCs w:val="24"/>
        </w:rPr>
      </w:pPr>
      <w:r w:rsidRPr="00286A0E">
        <w:rPr>
          <w:rFonts w:ascii="Arial" w:hAnsi="Arial" w:cs="Arial"/>
          <w:b/>
          <w:bCs/>
          <w:iCs/>
          <w:color w:val="D99594"/>
          <w:sz w:val="24"/>
          <w:szCs w:val="24"/>
        </w:rPr>
        <w:t>Výdělky</w:t>
      </w:r>
      <w:r w:rsidR="000C45BF" w:rsidRPr="00286A0E">
        <w:rPr>
          <w:rFonts w:ascii="Arial" w:hAnsi="Arial" w:cs="Arial"/>
          <w:b/>
          <w:bCs/>
          <w:iCs/>
          <w:color w:val="D99594"/>
          <w:sz w:val="24"/>
          <w:szCs w:val="24"/>
        </w:rPr>
        <w:t xml:space="preserve"> ve mzdové a platové sféře</w:t>
      </w:r>
    </w:p>
    <w:p w:rsidR="00235A34" w:rsidRPr="00286A0E" w:rsidRDefault="00235A34" w:rsidP="00286A0E">
      <w:pPr>
        <w:spacing w:before="240" w:after="24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86A0E">
        <w:rPr>
          <w:rFonts w:ascii="Arial" w:hAnsi="Arial" w:cs="Arial"/>
          <w:bCs/>
          <w:iCs/>
          <w:sz w:val="24"/>
          <w:szCs w:val="24"/>
        </w:rPr>
        <w:t xml:space="preserve">Z údajů obsažených v 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Informačním systému o průměrném výdělku (ISPV)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 vyplývá, že v 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1. pololetí 201</w:t>
      </w:r>
      <w:r w:rsidR="003C281A">
        <w:rPr>
          <w:rFonts w:ascii="Arial" w:hAnsi="Arial" w:cs="Arial"/>
          <w:b/>
          <w:bCs/>
          <w:iCs/>
          <w:sz w:val="24"/>
          <w:szCs w:val="24"/>
        </w:rPr>
        <w:t>2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281A">
        <w:rPr>
          <w:rFonts w:ascii="Arial" w:hAnsi="Arial" w:cs="Arial"/>
          <w:b/>
          <w:bCs/>
          <w:iCs/>
          <w:sz w:val="24"/>
          <w:szCs w:val="24"/>
        </w:rPr>
        <w:t>vzrostly výdělky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 xml:space="preserve"> ve mzdové</w:t>
      </w:r>
      <w:r w:rsidR="003C281A">
        <w:rPr>
          <w:rFonts w:ascii="Arial" w:hAnsi="Arial" w:cs="Arial"/>
          <w:b/>
          <w:bCs/>
          <w:iCs/>
          <w:sz w:val="24"/>
          <w:szCs w:val="24"/>
        </w:rPr>
        <w:t xml:space="preserve"> i platové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 xml:space="preserve"> sféře</w:t>
      </w:r>
      <w:r w:rsidR="003C281A">
        <w:rPr>
          <w:rFonts w:ascii="Arial" w:hAnsi="Arial" w:cs="Arial"/>
          <w:bCs/>
          <w:iCs/>
          <w:sz w:val="24"/>
          <w:szCs w:val="24"/>
        </w:rPr>
        <w:t>.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Medián hrubé měsíční mzdy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 dosáhl ve mzdové sféře v 1. pololetí 201</w:t>
      </w:r>
      <w:r w:rsidR="003C281A">
        <w:rPr>
          <w:rFonts w:ascii="Arial" w:hAnsi="Arial" w:cs="Arial"/>
          <w:bCs/>
          <w:iCs/>
          <w:sz w:val="24"/>
          <w:szCs w:val="24"/>
        </w:rPr>
        <w:t>2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 výše 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20 </w:t>
      </w:r>
      <w:r w:rsidR="00D54B85">
        <w:rPr>
          <w:rFonts w:ascii="Arial" w:hAnsi="Arial" w:cs="Arial"/>
          <w:b/>
          <w:bCs/>
          <w:iCs/>
          <w:sz w:val="24"/>
          <w:szCs w:val="24"/>
        </w:rPr>
        <w:t>856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 Kč</w:t>
      </w:r>
      <w:r w:rsidR="003C281A">
        <w:rPr>
          <w:rFonts w:ascii="Arial" w:hAnsi="Arial" w:cs="Arial"/>
          <w:bCs/>
          <w:iCs/>
          <w:sz w:val="24"/>
          <w:szCs w:val="24"/>
        </w:rPr>
        <w:t>, a zvýšil se tak o 2,5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 % oproti stejnému období předchozího roku. </w:t>
      </w:r>
      <w:r w:rsidRPr="00286A0E">
        <w:rPr>
          <w:rFonts w:ascii="Arial" w:hAnsi="Arial" w:cs="Arial"/>
          <w:b/>
          <w:bCs/>
          <w:iCs/>
          <w:sz w:val="24"/>
          <w:szCs w:val="24"/>
        </w:rPr>
        <w:t>Medián hrubého měsíčního platu</w:t>
      </w:r>
      <w:r w:rsidR="005B58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C281A">
        <w:rPr>
          <w:rFonts w:ascii="Arial" w:hAnsi="Arial" w:cs="Arial"/>
          <w:bCs/>
          <w:iCs/>
          <w:sz w:val="24"/>
          <w:szCs w:val="24"/>
        </w:rPr>
        <w:t xml:space="preserve">se </w:t>
      </w:r>
      <w:r w:rsidR="005B5807">
        <w:rPr>
          <w:rFonts w:ascii="Arial" w:hAnsi="Arial" w:cs="Arial"/>
          <w:bCs/>
          <w:iCs/>
          <w:sz w:val="24"/>
          <w:szCs w:val="24"/>
        </w:rPr>
        <w:t>ve </w:t>
      </w:r>
      <w:r w:rsidRPr="00286A0E">
        <w:rPr>
          <w:rFonts w:ascii="Arial" w:hAnsi="Arial" w:cs="Arial"/>
          <w:bCs/>
          <w:iCs/>
          <w:sz w:val="24"/>
          <w:szCs w:val="24"/>
        </w:rPr>
        <w:t xml:space="preserve">sledovaném období meziročně </w:t>
      </w:r>
      <w:r w:rsidR="00D54B85">
        <w:rPr>
          <w:rFonts w:ascii="Arial" w:hAnsi="Arial" w:cs="Arial"/>
          <w:bCs/>
          <w:iCs/>
          <w:sz w:val="24"/>
          <w:szCs w:val="24"/>
        </w:rPr>
        <w:t>zvýšil o 2</w:t>
      </w:r>
      <w:r w:rsidRPr="00286A0E">
        <w:rPr>
          <w:rFonts w:ascii="Arial" w:hAnsi="Arial" w:cs="Arial"/>
          <w:bCs/>
          <w:iCs/>
          <w:sz w:val="24"/>
          <w:szCs w:val="24"/>
        </w:rPr>
        <w:t>,</w:t>
      </w:r>
      <w:r w:rsidR="00D54B85">
        <w:rPr>
          <w:rFonts w:ascii="Arial" w:hAnsi="Arial" w:cs="Arial"/>
          <w:bCs/>
          <w:iCs/>
          <w:sz w:val="24"/>
          <w:szCs w:val="24"/>
        </w:rPr>
        <w:t>2</w:t>
      </w:r>
      <w:r w:rsidRPr="00286A0E">
        <w:rPr>
          <w:rFonts w:ascii="Arial" w:hAnsi="Arial" w:cs="Arial"/>
          <w:bCs/>
          <w:iCs/>
          <w:sz w:val="24"/>
          <w:szCs w:val="24"/>
        </w:rPr>
        <w:t> % na 2</w:t>
      </w:r>
      <w:r w:rsidR="00D54B85">
        <w:rPr>
          <w:rFonts w:ascii="Arial" w:hAnsi="Arial" w:cs="Arial"/>
          <w:bCs/>
          <w:iCs/>
          <w:sz w:val="24"/>
          <w:szCs w:val="24"/>
        </w:rPr>
        <w:t>3</w:t>
      </w:r>
      <w:r w:rsidRPr="00286A0E">
        <w:rPr>
          <w:rFonts w:ascii="Arial" w:hAnsi="Arial" w:cs="Arial"/>
          <w:bCs/>
          <w:iCs/>
          <w:sz w:val="24"/>
          <w:szCs w:val="24"/>
        </w:rPr>
        <w:t> </w:t>
      </w:r>
      <w:r w:rsidR="00D54B85">
        <w:rPr>
          <w:rFonts w:ascii="Arial" w:hAnsi="Arial" w:cs="Arial"/>
          <w:bCs/>
          <w:iCs/>
          <w:sz w:val="24"/>
          <w:szCs w:val="24"/>
        </w:rPr>
        <w:t>624</w:t>
      </w:r>
      <w:r w:rsidR="003C281A">
        <w:rPr>
          <w:rFonts w:ascii="Arial" w:hAnsi="Arial" w:cs="Arial"/>
          <w:bCs/>
          <w:iCs/>
          <w:sz w:val="24"/>
          <w:szCs w:val="24"/>
        </w:rPr>
        <w:t> Kč.</w:t>
      </w:r>
    </w:p>
    <w:p w:rsidR="00901823" w:rsidRDefault="00235A34" w:rsidP="00286A0E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iCs/>
        </w:rPr>
      </w:pPr>
      <w:r w:rsidRPr="00286A0E">
        <w:rPr>
          <w:rFonts w:ascii="Arial" w:hAnsi="Arial" w:cs="Arial"/>
          <w:b/>
          <w:bCs/>
          <w:iCs/>
        </w:rPr>
        <w:t>Medián hrubého měsíčního platu</w:t>
      </w:r>
      <w:r w:rsidRPr="00286A0E">
        <w:rPr>
          <w:rFonts w:ascii="Arial" w:hAnsi="Arial" w:cs="Arial"/>
          <w:bCs/>
          <w:iCs/>
        </w:rPr>
        <w:t xml:space="preserve"> byl v </w:t>
      </w:r>
      <w:r w:rsidR="003C281A">
        <w:rPr>
          <w:rFonts w:ascii="Arial" w:hAnsi="Arial" w:cs="Arial"/>
          <w:bCs/>
          <w:iCs/>
        </w:rPr>
        <w:t>platové sféře v 1. pololetí 2012</w:t>
      </w:r>
      <w:r w:rsidRPr="00286A0E">
        <w:rPr>
          <w:rFonts w:ascii="Arial" w:hAnsi="Arial" w:cs="Arial"/>
          <w:bCs/>
          <w:iCs/>
        </w:rPr>
        <w:t xml:space="preserve"> </w:t>
      </w:r>
      <w:r w:rsidRPr="00286A0E">
        <w:rPr>
          <w:rFonts w:ascii="Arial" w:hAnsi="Arial" w:cs="Arial"/>
          <w:b/>
          <w:bCs/>
          <w:iCs/>
        </w:rPr>
        <w:t xml:space="preserve">o </w:t>
      </w:r>
      <w:r w:rsidR="00D54B85">
        <w:rPr>
          <w:rFonts w:ascii="Arial" w:hAnsi="Arial" w:cs="Arial"/>
          <w:b/>
          <w:bCs/>
          <w:iCs/>
        </w:rPr>
        <w:t>2</w:t>
      </w:r>
      <w:r w:rsidRPr="00286A0E">
        <w:rPr>
          <w:rFonts w:ascii="Arial" w:hAnsi="Arial" w:cs="Arial"/>
          <w:b/>
          <w:bCs/>
          <w:iCs/>
        </w:rPr>
        <w:t> </w:t>
      </w:r>
      <w:r w:rsidR="00D54B85">
        <w:rPr>
          <w:rFonts w:ascii="Arial" w:hAnsi="Arial" w:cs="Arial"/>
          <w:b/>
          <w:bCs/>
          <w:iCs/>
        </w:rPr>
        <w:t>768</w:t>
      </w:r>
      <w:r w:rsidRPr="00286A0E">
        <w:rPr>
          <w:rFonts w:ascii="Arial" w:hAnsi="Arial" w:cs="Arial"/>
          <w:b/>
          <w:bCs/>
          <w:iCs/>
        </w:rPr>
        <w:t> Kč vyšší než medián hrubé měsíční mzdy</w:t>
      </w:r>
      <w:r w:rsidRPr="00286A0E">
        <w:rPr>
          <w:rFonts w:ascii="Arial" w:hAnsi="Arial" w:cs="Arial"/>
          <w:bCs/>
          <w:iCs/>
        </w:rPr>
        <w:t xml:space="preserve"> ve mzdové sféře. </w:t>
      </w:r>
      <w:r w:rsidR="00901823">
        <w:rPr>
          <w:rFonts w:ascii="Arial" w:hAnsi="Arial" w:cs="Arial"/>
          <w:bCs/>
          <w:iCs/>
        </w:rPr>
        <w:t xml:space="preserve">Odlišná úroveň výdělků poukazuje na rozdíly v rozdělení mezd a platů v jednotlivých sférách. </w:t>
      </w:r>
      <w:r w:rsidR="00901823" w:rsidRPr="003C370F">
        <w:rPr>
          <w:rFonts w:ascii="Arial" w:hAnsi="Arial" w:cs="Arial"/>
          <w:b/>
          <w:bCs/>
          <w:iCs/>
        </w:rPr>
        <w:t>Ve mzdové sféře</w:t>
      </w:r>
      <w:r w:rsidR="00901823">
        <w:rPr>
          <w:rFonts w:ascii="Arial" w:hAnsi="Arial" w:cs="Arial"/>
          <w:bCs/>
          <w:iCs/>
        </w:rPr>
        <w:t xml:space="preserve"> existují </w:t>
      </w:r>
      <w:r w:rsidR="00901823" w:rsidRPr="003C370F">
        <w:rPr>
          <w:rFonts w:ascii="Arial" w:hAnsi="Arial" w:cs="Arial"/>
          <w:b/>
          <w:bCs/>
          <w:iCs/>
        </w:rPr>
        <w:t>vyšší rozdíly mezi výdělky jednotlivých zaměstnanců</w:t>
      </w:r>
      <w:r w:rsidR="00901823">
        <w:rPr>
          <w:rFonts w:ascii="Arial" w:hAnsi="Arial" w:cs="Arial"/>
          <w:bCs/>
          <w:iCs/>
        </w:rPr>
        <w:t>. Tuto skutečnost potvrzuje i rozdíl mezi mediá</w:t>
      </w:r>
      <w:r w:rsidR="003C370F">
        <w:rPr>
          <w:rFonts w:ascii="Arial" w:hAnsi="Arial" w:cs="Arial"/>
          <w:bCs/>
          <w:iCs/>
        </w:rPr>
        <w:t>nem a průměrem mzdy (platu). Ve </w:t>
      </w:r>
      <w:r w:rsidR="00901823">
        <w:rPr>
          <w:rFonts w:ascii="Arial" w:hAnsi="Arial" w:cs="Arial"/>
          <w:bCs/>
          <w:iCs/>
        </w:rPr>
        <w:t>sledovaném období byl ve mzdové sféře p</w:t>
      </w:r>
      <w:r w:rsidR="00604F20">
        <w:rPr>
          <w:rFonts w:ascii="Arial" w:hAnsi="Arial" w:cs="Arial"/>
          <w:bCs/>
          <w:iCs/>
        </w:rPr>
        <w:t>růměr mzdy o 4 606</w:t>
      </w:r>
      <w:r w:rsidR="00207DF5">
        <w:rPr>
          <w:rFonts w:ascii="Arial" w:hAnsi="Arial" w:cs="Arial"/>
          <w:bCs/>
          <w:iCs/>
        </w:rPr>
        <w:t> Kč vyšší než </w:t>
      </w:r>
      <w:r w:rsidR="00901823">
        <w:rPr>
          <w:rFonts w:ascii="Arial" w:hAnsi="Arial" w:cs="Arial"/>
          <w:bCs/>
          <w:iCs/>
        </w:rPr>
        <w:t>medián, v platové sféře pouze o 1 </w:t>
      </w:r>
      <w:r w:rsidR="00604F20">
        <w:rPr>
          <w:rFonts w:ascii="Arial" w:hAnsi="Arial" w:cs="Arial"/>
          <w:bCs/>
          <w:iCs/>
        </w:rPr>
        <w:t>377</w:t>
      </w:r>
      <w:r w:rsidR="00901823">
        <w:rPr>
          <w:rFonts w:ascii="Arial" w:hAnsi="Arial" w:cs="Arial"/>
          <w:bCs/>
          <w:iCs/>
        </w:rPr>
        <w:t xml:space="preserve"> Kč. Mezi sférami se výrazně odlišuje i </w:t>
      </w:r>
      <w:r w:rsidR="00901823" w:rsidRPr="003C370F">
        <w:rPr>
          <w:rFonts w:ascii="Arial" w:hAnsi="Arial" w:cs="Arial"/>
          <w:b/>
          <w:bCs/>
          <w:iCs/>
        </w:rPr>
        <w:t>podíl zaměstnanců, jejichž měsíční mzda byla nižší, než činí průměr v dané sféře</w:t>
      </w:r>
      <w:r w:rsidR="00901823">
        <w:rPr>
          <w:rFonts w:ascii="Arial" w:hAnsi="Arial" w:cs="Arial"/>
          <w:bCs/>
          <w:iCs/>
        </w:rPr>
        <w:t xml:space="preserve">. </w:t>
      </w:r>
      <w:r w:rsidR="003C370F" w:rsidRPr="003C370F">
        <w:rPr>
          <w:rFonts w:ascii="Arial" w:hAnsi="Arial" w:cs="Arial"/>
          <w:b/>
          <w:bCs/>
          <w:iCs/>
        </w:rPr>
        <w:t>V platové sféře</w:t>
      </w:r>
      <w:r w:rsidR="003C370F">
        <w:rPr>
          <w:rFonts w:ascii="Arial" w:hAnsi="Arial" w:cs="Arial"/>
          <w:bCs/>
          <w:iCs/>
        </w:rPr>
        <w:t xml:space="preserve"> nedosáhlo na průměrnou mzdu </w:t>
      </w:r>
      <w:r w:rsidR="003C370F" w:rsidRPr="003C370F">
        <w:rPr>
          <w:rFonts w:ascii="Arial" w:hAnsi="Arial" w:cs="Arial"/>
          <w:b/>
          <w:bCs/>
          <w:iCs/>
        </w:rPr>
        <w:t>5</w:t>
      </w:r>
      <w:r w:rsidR="00604F20">
        <w:rPr>
          <w:rFonts w:ascii="Arial" w:hAnsi="Arial" w:cs="Arial"/>
          <w:b/>
          <w:bCs/>
          <w:iCs/>
        </w:rPr>
        <w:t>9,5</w:t>
      </w:r>
      <w:r w:rsidR="003C370F" w:rsidRPr="003C370F">
        <w:rPr>
          <w:rFonts w:ascii="Arial" w:hAnsi="Arial" w:cs="Arial"/>
          <w:b/>
          <w:bCs/>
          <w:iCs/>
        </w:rPr>
        <w:t xml:space="preserve"> %</w:t>
      </w:r>
      <w:r w:rsidR="003C370F">
        <w:rPr>
          <w:rFonts w:ascii="Arial" w:hAnsi="Arial" w:cs="Arial"/>
          <w:bCs/>
          <w:iCs/>
        </w:rPr>
        <w:t xml:space="preserve"> zaměstnanců, zatímco </w:t>
      </w:r>
      <w:r w:rsidR="003C370F" w:rsidRPr="003C370F">
        <w:rPr>
          <w:rFonts w:ascii="Arial" w:hAnsi="Arial" w:cs="Arial"/>
          <w:b/>
          <w:bCs/>
          <w:iCs/>
        </w:rPr>
        <w:t>ve</w:t>
      </w:r>
      <w:r w:rsidR="003C370F">
        <w:rPr>
          <w:rFonts w:ascii="Arial" w:hAnsi="Arial" w:cs="Arial"/>
          <w:bCs/>
          <w:iCs/>
        </w:rPr>
        <w:t> </w:t>
      </w:r>
      <w:r w:rsidR="003C370F" w:rsidRPr="003C370F">
        <w:rPr>
          <w:rFonts w:ascii="Arial" w:hAnsi="Arial" w:cs="Arial"/>
          <w:b/>
          <w:bCs/>
          <w:iCs/>
        </w:rPr>
        <w:t>mzdové sféře 69</w:t>
      </w:r>
      <w:r w:rsidR="00604F20">
        <w:rPr>
          <w:rFonts w:ascii="Arial" w:hAnsi="Arial" w:cs="Arial"/>
          <w:b/>
          <w:bCs/>
          <w:iCs/>
        </w:rPr>
        <w:t>,0</w:t>
      </w:r>
      <w:r w:rsidR="003C370F" w:rsidRPr="003C370F">
        <w:rPr>
          <w:rFonts w:ascii="Arial" w:hAnsi="Arial" w:cs="Arial"/>
          <w:b/>
          <w:bCs/>
          <w:iCs/>
        </w:rPr>
        <w:t xml:space="preserve"> %</w:t>
      </w:r>
      <w:r w:rsidR="003C370F">
        <w:rPr>
          <w:rFonts w:ascii="Arial" w:hAnsi="Arial" w:cs="Arial"/>
          <w:bCs/>
          <w:iCs/>
        </w:rPr>
        <w:t xml:space="preserve"> </w:t>
      </w:r>
      <w:r w:rsidR="003C370F" w:rsidRPr="003C370F">
        <w:rPr>
          <w:rFonts w:ascii="Arial" w:hAnsi="Arial" w:cs="Arial"/>
          <w:b/>
          <w:bCs/>
          <w:iCs/>
        </w:rPr>
        <w:t>zaměstnanců</w:t>
      </w:r>
      <w:r w:rsidR="003C370F">
        <w:rPr>
          <w:rFonts w:ascii="Arial" w:hAnsi="Arial" w:cs="Arial"/>
          <w:bCs/>
          <w:iCs/>
        </w:rPr>
        <w:t>.</w:t>
      </w:r>
    </w:p>
    <w:p w:rsidR="00235A34" w:rsidRPr="00286A0E" w:rsidRDefault="00235A34" w:rsidP="00286A0E">
      <w:pPr>
        <w:pStyle w:val="Normlnweb"/>
        <w:spacing w:before="240" w:beforeAutospacing="0" w:after="240" w:afterAutospacing="0"/>
        <w:jc w:val="both"/>
        <w:rPr>
          <w:rFonts w:ascii="Arial" w:hAnsi="Arial" w:cs="Arial"/>
          <w:bCs/>
          <w:iCs/>
        </w:rPr>
      </w:pPr>
      <w:r w:rsidRPr="00286A0E">
        <w:rPr>
          <w:rFonts w:ascii="Arial" w:hAnsi="Arial" w:cs="Arial"/>
          <w:bCs/>
          <w:iCs/>
        </w:rPr>
        <w:t>Rozdíl</w:t>
      </w:r>
      <w:r w:rsidR="003C370F">
        <w:rPr>
          <w:rFonts w:ascii="Arial" w:hAnsi="Arial" w:cs="Arial"/>
          <w:bCs/>
          <w:iCs/>
        </w:rPr>
        <w:t>y</w:t>
      </w:r>
      <w:r w:rsidRPr="00286A0E">
        <w:rPr>
          <w:rFonts w:ascii="Arial" w:hAnsi="Arial" w:cs="Arial"/>
          <w:bCs/>
          <w:iCs/>
        </w:rPr>
        <w:t xml:space="preserve"> mezi mediánem hrubé měsíční mzdy a platu ve prospěch platové sféry je </w:t>
      </w:r>
      <w:r w:rsidR="00901823">
        <w:rPr>
          <w:rFonts w:ascii="Arial" w:hAnsi="Arial" w:cs="Arial"/>
          <w:bCs/>
          <w:iCs/>
        </w:rPr>
        <w:t xml:space="preserve">však </w:t>
      </w:r>
      <w:r w:rsidRPr="00286A0E">
        <w:rPr>
          <w:rFonts w:ascii="Arial" w:hAnsi="Arial" w:cs="Arial"/>
          <w:bCs/>
          <w:iCs/>
        </w:rPr>
        <w:t xml:space="preserve">způsoben </w:t>
      </w:r>
      <w:r w:rsidR="00901823">
        <w:rPr>
          <w:rFonts w:ascii="Arial" w:hAnsi="Arial" w:cs="Arial"/>
          <w:bCs/>
          <w:iCs/>
        </w:rPr>
        <w:t xml:space="preserve">i dalšími faktory, </w:t>
      </w:r>
      <w:r w:rsidRPr="00286A0E">
        <w:rPr>
          <w:rFonts w:ascii="Arial" w:hAnsi="Arial" w:cs="Arial"/>
          <w:bCs/>
          <w:iCs/>
        </w:rPr>
        <w:t xml:space="preserve">především </w:t>
      </w:r>
      <w:r w:rsidRPr="000C517E">
        <w:rPr>
          <w:rFonts w:ascii="Arial" w:hAnsi="Arial" w:cs="Arial"/>
          <w:b/>
          <w:bCs/>
          <w:iCs/>
        </w:rPr>
        <w:t>rozdíly ve struktuře zaměstnanců podle vzdělání</w:t>
      </w:r>
      <w:r w:rsidRPr="00286A0E">
        <w:rPr>
          <w:rFonts w:ascii="Arial" w:hAnsi="Arial" w:cs="Arial"/>
          <w:bCs/>
          <w:iCs/>
        </w:rPr>
        <w:t xml:space="preserve">. Graf </w:t>
      </w:r>
      <w:r w:rsidR="00901823">
        <w:rPr>
          <w:rFonts w:ascii="Arial" w:hAnsi="Arial" w:cs="Arial"/>
          <w:bCs/>
          <w:iCs/>
        </w:rPr>
        <w:t>1</w:t>
      </w:r>
      <w:r w:rsidRPr="00286A0E">
        <w:rPr>
          <w:rFonts w:ascii="Arial" w:hAnsi="Arial" w:cs="Arial"/>
          <w:bCs/>
          <w:iCs/>
        </w:rPr>
        <w:t xml:space="preserve"> uk</w:t>
      </w:r>
      <w:r w:rsidR="001A3542">
        <w:rPr>
          <w:rFonts w:ascii="Arial" w:hAnsi="Arial" w:cs="Arial"/>
          <w:bCs/>
          <w:iCs/>
        </w:rPr>
        <w:t xml:space="preserve">azuje, že </w:t>
      </w:r>
      <w:r w:rsidR="001A3542" w:rsidRPr="000C517E">
        <w:rPr>
          <w:rFonts w:ascii="Arial" w:hAnsi="Arial" w:cs="Arial"/>
          <w:b/>
          <w:bCs/>
          <w:iCs/>
        </w:rPr>
        <w:t>v platové sféře</w:t>
      </w:r>
      <w:r w:rsidR="001A3542">
        <w:rPr>
          <w:rFonts w:ascii="Arial" w:hAnsi="Arial" w:cs="Arial"/>
          <w:bCs/>
          <w:iCs/>
        </w:rPr>
        <w:t xml:space="preserve"> je ve </w:t>
      </w:r>
      <w:r w:rsidRPr="00286A0E">
        <w:rPr>
          <w:rFonts w:ascii="Arial" w:hAnsi="Arial" w:cs="Arial"/>
          <w:bCs/>
          <w:iCs/>
        </w:rPr>
        <w:t xml:space="preserve">srovnání se mzdovou sférou mnohem </w:t>
      </w:r>
      <w:r w:rsidRPr="000C517E">
        <w:rPr>
          <w:rFonts w:ascii="Arial" w:hAnsi="Arial" w:cs="Arial"/>
          <w:b/>
          <w:bCs/>
          <w:iCs/>
        </w:rPr>
        <w:t>vyšší podíl zaměstnanců s vysokoškolským vzděláním</w:t>
      </w:r>
      <w:r w:rsidR="00207DF5">
        <w:rPr>
          <w:rFonts w:ascii="Arial" w:hAnsi="Arial" w:cs="Arial"/>
          <w:bCs/>
          <w:iCs/>
        </w:rPr>
        <w:t xml:space="preserve"> (</w:t>
      </w:r>
      <w:r w:rsidR="00207DF5" w:rsidRPr="00207DF5">
        <w:rPr>
          <w:rFonts w:ascii="Arial" w:hAnsi="Arial" w:cs="Arial"/>
          <w:bCs/>
          <w:iCs/>
        </w:rPr>
        <w:t>o </w:t>
      </w:r>
      <w:r w:rsidR="00690910">
        <w:rPr>
          <w:rFonts w:ascii="Arial" w:hAnsi="Arial" w:cs="Arial"/>
          <w:bCs/>
          <w:iCs/>
        </w:rPr>
        <w:t>16</w:t>
      </w:r>
      <w:r w:rsidR="00207DF5">
        <w:rPr>
          <w:rFonts w:ascii="Arial" w:hAnsi="Arial" w:cs="Arial"/>
          <w:bCs/>
          <w:iCs/>
        </w:rPr>
        <w:t> </w:t>
      </w:r>
      <w:proofErr w:type="spellStart"/>
      <w:r w:rsidRPr="000C517E">
        <w:rPr>
          <w:rFonts w:ascii="Arial" w:hAnsi="Arial" w:cs="Arial"/>
          <w:bCs/>
          <w:iCs/>
        </w:rPr>
        <w:t>p.b</w:t>
      </w:r>
      <w:proofErr w:type="spellEnd"/>
      <w:r w:rsidRPr="000C517E">
        <w:rPr>
          <w:rFonts w:ascii="Arial" w:hAnsi="Arial" w:cs="Arial"/>
          <w:bCs/>
          <w:iCs/>
        </w:rPr>
        <w:t xml:space="preserve">.) a </w:t>
      </w:r>
      <w:r w:rsidR="000C517E">
        <w:rPr>
          <w:rFonts w:ascii="Arial" w:hAnsi="Arial" w:cs="Arial"/>
          <w:bCs/>
          <w:iCs/>
        </w:rPr>
        <w:t>nižší</w:t>
      </w:r>
      <w:r w:rsidRPr="000C517E">
        <w:rPr>
          <w:rFonts w:ascii="Arial" w:hAnsi="Arial" w:cs="Arial"/>
          <w:bCs/>
          <w:iCs/>
        </w:rPr>
        <w:t xml:space="preserve"> podíl zaměstnanců se střed</w:t>
      </w:r>
      <w:r w:rsidR="00690910">
        <w:rPr>
          <w:rFonts w:ascii="Arial" w:hAnsi="Arial" w:cs="Arial"/>
          <w:bCs/>
          <w:iCs/>
        </w:rPr>
        <w:t>ním vzděláním bez maturity (o 24</w:t>
      </w:r>
      <w:r w:rsidRPr="000C517E">
        <w:rPr>
          <w:rFonts w:ascii="Arial" w:hAnsi="Arial" w:cs="Arial"/>
          <w:bCs/>
          <w:iCs/>
        </w:rPr>
        <w:t xml:space="preserve"> </w:t>
      </w:r>
      <w:proofErr w:type="spellStart"/>
      <w:r w:rsidRPr="000C517E">
        <w:rPr>
          <w:rFonts w:ascii="Arial" w:hAnsi="Arial" w:cs="Arial"/>
          <w:bCs/>
          <w:iCs/>
        </w:rPr>
        <w:t>p.b</w:t>
      </w:r>
      <w:proofErr w:type="spellEnd"/>
      <w:r w:rsidRPr="000C517E">
        <w:rPr>
          <w:rFonts w:ascii="Arial" w:hAnsi="Arial" w:cs="Arial"/>
          <w:bCs/>
          <w:iCs/>
        </w:rPr>
        <w:t>.).</w:t>
      </w:r>
    </w:p>
    <w:p w:rsidR="00235A34" w:rsidRPr="005B5807" w:rsidRDefault="00235A34" w:rsidP="009E1DB6">
      <w:pPr>
        <w:pStyle w:val="Titulek"/>
        <w:keepNext/>
        <w:spacing w:before="480" w:after="120"/>
        <w:jc w:val="both"/>
        <w:rPr>
          <w:rFonts w:cs="Arial"/>
          <w:sz w:val="22"/>
          <w:szCs w:val="22"/>
        </w:rPr>
      </w:pPr>
      <w:r w:rsidRPr="005B5807">
        <w:rPr>
          <w:rFonts w:cs="Arial"/>
          <w:sz w:val="22"/>
          <w:szCs w:val="22"/>
        </w:rPr>
        <w:t xml:space="preserve">Graf </w:t>
      </w:r>
      <w:r w:rsidR="00455187" w:rsidRPr="005B5807">
        <w:rPr>
          <w:rFonts w:cs="Arial"/>
          <w:sz w:val="22"/>
          <w:szCs w:val="22"/>
        </w:rPr>
        <w:fldChar w:fldCharType="begin"/>
      </w:r>
      <w:r w:rsidRPr="005B5807">
        <w:rPr>
          <w:rFonts w:cs="Arial"/>
          <w:sz w:val="22"/>
          <w:szCs w:val="22"/>
        </w:rPr>
        <w:instrText xml:space="preserve"> SEQ Graf \* ARABIC </w:instrText>
      </w:r>
      <w:r w:rsidR="00455187" w:rsidRPr="005B5807">
        <w:rPr>
          <w:rFonts w:cs="Arial"/>
          <w:sz w:val="22"/>
          <w:szCs w:val="22"/>
        </w:rPr>
        <w:fldChar w:fldCharType="separate"/>
      </w:r>
      <w:r w:rsidR="00DE78B7">
        <w:rPr>
          <w:rFonts w:cs="Arial"/>
          <w:noProof/>
          <w:sz w:val="22"/>
          <w:szCs w:val="22"/>
        </w:rPr>
        <w:t>1</w:t>
      </w:r>
      <w:r w:rsidR="00455187" w:rsidRPr="005B5807">
        <w:rPr>
          <w:rFonts w:cs="Arial"/>
          <w:sz w:val="22"/>
          <w:szCs w:val="22"/>
        </w:rPr>
        <w:fldChar w:fldCharType="end"/>
      </w:r>
      <w:r w:rsidRPr="005B5807">
        <w:rPr>
          <w:rFonts w:cs="Arial"/>
          <w:sz w:val="22"/>
          <w:szCs w:val="22"/>
        </w:rPr>
        <w:t xml:space="preserve">: Struktura zaměstnanců mzdové </w:t>
      </w:r>
      <w:r w:rsidR="007E6D0C">
        <w:rPr>
          <w:rFonts w:cs="Arial"/>
          <w:sz w:val="22"/>
          <w:szCs w:val="22"/>
        </w:rPr>
        <w:t xml:space="preserve">a platové sféry podle vzdělání v </w:t>
      </w:r>
      <w:r w:rsidRPr="005B5807">
        <w:rPr>
          <w:rFonts w:cs="Arial"/>
          <w:sz w:val="22"/>
          <w:szCs w:val="22"/>
        </w:rPr>
        <w:t>1. pololetí 201</w:t>
      </w:r>
      <w:r w:rsidR="003C370F">
        <w:rPr>
          <w:rFonts w:cs="Arial"/>
          <w:sz w:val="22"/>
          <w:szCs w:val="22"/>
        </w:rPr>
        <w:t>2</w:t>
      </w:r>
      <w:r w:rsidRPr="005B5807">
        <w:rPr>
          <w:rFonts w:cs="Arial"/>
          <w:sz w:val="22"/>
          <w:szCs w:val="22"/>
        </w:rPr>
        <w:t>.</w:t>
      </w:r>
    </w:p>
    <w:p w:rsidR="00D21AA3" w:rsidRDefault="00690910" w:rsidP="00C53320">
      <w:pPr>
        <w:pStyle w:val="Titulek"/>
        <w:spacing w:after="120"/>
        <w:jc w:val="center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4676775" cy="3162300"/>
            <wp:effectExtent l="0" t="0" r="9525" b="1905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0910" w:rsidRPr="00690910" w:rsidRDefault="00690910" w:rsidP="0069091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sz w:val="20"/>
          <w:szCs w:val="20"/>
          <w:lang w:eastAsia="cs-CZ"/>
        </w:rPr>
        <w:t>Pozn.: Vyšší odborné vzdělání je zařazeno do kategorie středního vzdělání s maturitou. Nedokončené vzdělání je zařazeno do kategorie základního vzdělání.</w:t>
      </w:r>
    </w:p>
    <w:p w:rsidR="00793F02" w:rsidRPr="00286A0E" w:rsidRDefault="00646D9E" w:rsidP="00A53C5B">
      <w:pPr>
        <w:keepNext/>
        <w:spacing w:before="480" w:after="360" w:line="240" w:lineRule="auto"/>
        <w:jc w:val="both"/>
        <w:rPr>
          <w:rFonts w:ascii="Arial" w:hAnsi="Arial" w:cs="Arial"/>
          <w:b/>
          <w:bCs/>
          <w:iCs/>
          <w:color w:val="D99594"/>
          <w:sz w:val="24"/>
          <w:szCs w:val="24"/>
        </w:rPr>
      </w:pPr>
      <w:r w:rsidRPr="00286A0E">
        <w:rPr>
          <w:rFonts w:ascii="Arial" w:hAnsi="Arial" w:cs="Arial"/>
          <w:b/>
          <w:bCs/>
          <w:iCs/>
          <w:color w:val="D99594"/>
          <w:sz w:val="24"/>
          <w:szCs w:val="24"/>
        </w:rPr>
        <w:lastRenderedPageBreak/>
        <w:t xml:space="preserve">Mzdy a platy podle </w:t>
      </w:r>
      <w:r w:rsidR="00507AEB">
        <w:rPr>
          <w:rFonts w:ascii="Arial" w:hAnsi="Arial" w:cs="Arial"/>
          <w:b/>
          <w:bCs/>
          <w:iCs/>
          <w:color w:val="D99594"/>
          <w:sz w:val="24"/>
          <w:szCs w:val="24"/>
        </w:rPr>
        <w:t>zaměstnání</w:t>
      </w:r>
    </w:p>
    <w:p w:rsidR="00A100C8" w:rsidRDefault="00A100C8" w:rsidP="00286A0E">
      <w:pPr>
        <w:spacing w:after="12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V </w:t>
      </w:r>
      <w:r w:rsidR="0055566C">
        <w:rPr>
          <w:rFonts w:ascii="Arial" w:hAnsi="Arial" w:cs="Arial"/>
          <w:bCs/>
          <w:iCs/>
          <w:sz w:val="24"/>
          <w:szCs w:val="24"/>
        </w:rPr>
        <w:t xml:space="preserve">1. pololetí 2012 dosáhly </w:t>
      </w:r>
      <w:r w:rsidRPr="00A100C8">
        <w:rPr>
          <w:rFonts w:ascii="Arial" w:hAnsi="Arial" w:cs="Arial"/>
          <w:b/>
          <w:bCs/>
          <w:iCs/>
          <w:sz w:val="24"/>
          <w:szCs w:val="24"/>
        </w:rPr>
        <w:t>výdělky</w:t>
      </w:r>
      <w:r w:rsidR="005556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55566C" w:rsidRPr="00A100C8">
        <w:rPr>
          <w:rFonts w:ascii="Arial" w:hAnsi="Arial" w:cs="Arial"/>
          <w:b/>
          <w:bCs/>
          <w:iCs/>
          <w:sz w:val="24"/>
          <w:szCs w:val="24"/>
        </w:rPr>
        <w:t xml:space="preserve">nejvyšší </w:t>
      </w:r>
      <w:r w:rsidR="0055566C" w:rsidRPr="00A100C8">
        <w:rPr>
          <w:rFonts w:ascii="Arial" w:hAnsi="Arial" w:cs="Arial"/>
          <w:bCs/>
          <w:iCs/>
          <w:sz w:val="24"/>
          <w:szCs w:val="24"/>
        </w:rPr>
        <w:t>úrovně</w:t>
      </w:r>
      <w:r w:rsidR="0055566C" w:rsidRPr="00A100C8">
        <w:rPr>
          <w:rFonts w:ascii="Arial" w:hAnsi="Arial" w:cs="Arial"/>
          <w:b/>
          <w:bCs/>
          <w:iCs/>
          <w:sz w:val="24"/>
          <w:szCs w:val="24"/>
        </w:rPr>
        <w:t xml:space="preserve"> u</w:t>
      </w:r>
      <w:r w:rsidRPr="00A100C8">
        <w:rPr>
          <w:rFonts w:ascii="Arial" w:hAnsi="Arial" w:cs="Arial"/>
          <w:b/>
          <w:bCs/>
          <w:iCs/>
          <w:sz w:val="24"/>
          <w:szCs w:val="24"/>
        </w:rPr>
        <w:t xml:space="preserve"> nemanuálních (duševních) pracovníků</w:t>
      </w:r>
      <w:r>
        <w:rPr>
          <w:rFonts w:ascii="Arial" w:hAnsi="Arial" w:cs="Arial"/>
          <w:bCs/>
          <w:iCs/>
          <w:sz w:val="24"/>
          <w:szCs w:val="24"/>
        </w:rPr>
        <w:t>. Ve mzdové sféře byl medián hrubé měsíční mzdy duševních pracovníků o 7 </w:t>
      </w:r>
      <w:r w:rsidR="00297E96">
        <w:rPr>
          <w:rFonts w:ascii="Arial" w:hAnsi="Arial" w:cs="Arial"/>
          <w:bCs/>
          <w:iCs/>
          <w:sz w:val="24"/>
          <w:szCs w:val="24"/>
        </w:rPr>
        <w:t>799</w:t>
      </w:r>
      <w:r>
        <w:rPr>
          <w:rFonts w:ascii="Arial" w:hAnsi="Arial" w:cs="Arial"/>
          <w:bCs/>
          <w:iCs/>
          <w:sz w:val="24"/>
          <w:szCs w:val="24"/>
        </w:rPr>
        <w:t xml:space="preserve"> Kč vyšší než mzda manuálních pracovníků. U platové sféry činil rozdíl v platech duševních a manuálních pracovníků 1</w:t>
      </w:r>
      <w:r w:rsidR="00297E96">
        <w:rPr>
          <w:rFonts w:ascii="Arial" w:hAnsi="Arial" w:cs="Arial"/>
          <w:bCs/>
          <w:iCs/>
          <w:sz w:val="24"/>
          <w:szCs w:val="24"/>
        </w:rPr>
        <w:t>0</w:t>
      </w:r>
      <w:r>
        <w:rPr>
          <w:rFonts w:ascii="Arial" w:hAnsi="Arial" w:cs="Arial"/>
          <w:bCs/>
          <w:iCs/>
          <w:sz w:val="24"/>
          <w:szCs w:val="24"/>
        </w:rPr>
        <w:t> </w:t>
      </w:r>
      <w:r w:rsidR="00297E96">
        <w:rPr>
          <w:rFonts w:ascii="Arial" w:hAnsi="Arial" w:cs="Arial"/>
          <w:bCs/>
          <w:iCs/>
          <w:sz w:val="24"/>
          <w:szCs w:val="24"/>
        </w:rPr>
        <w:t>440</w:t>
      </w:r>
      <w:r>
        <w:rPr>
          <w:rFonts w:ascii="Arial" w:hAnsi="Arial" w:cs="Arial"/>
          <w:bCs/>
          <w:iCs/>
          <w:sz w:val="24"/>
          <w:szCs w:val="24"/>
        </w:rPr>
        <w:t> Kč.</w:t>
      </w:r>
    </w:p>
    <w:p w:rsidR="00147C9B" w:rsidRDefault="00A100C8" w:rsidP="00286A0E">
      <w:pPr>
        <w:spacing w:after="12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Z grafu 2 je patrné, že </w:t>
      </w:r>
      <w:r w:rsidR="00147C9B" w:rsidRPr="00147C9B">
        <w:rPr>
          <w:rFonts w:ascii="Arial" w:hAnsi="Arial" w:cs="Arial"/>
          <w:b/>
          <w:bCs/>
          <w:iCs/>
          <w:sz w:val="24"/>
          <w:szCs w:val="24"/>
        </w:rPr>
        <w:t>většin</w:t>
      </w:r>
      <w:r w:rsidR="00147C9B">
        <w:rPr>
          <w:rFonts w:ascii="Arial" w:hAnsi="Arial" w:cs="Arial"/>
          <w:b/>
          <w:bCs/>
          <w:iCs/>
          <w:sz w:val="24"/>
          <w:szCs w:val="24"/>
        </w:rPr>
        <w:t xml:space="preserve">a </w:t>
      </w:r>
      <w:r w:rsidR="00297E96" w:rsidRPr="00147C9B">
        <w:rPr>
          <w:rFonts w:ascii="Arial" w:hAnsi="Arial" w:cs="Arial"/>
          <w:b/>
          <w:bCs/>
          <w:iCs/>
          <w:sz w:val="24"/>
          <w:szCs w:val="24"/>
        </w:rPr>
        <w:t>zaměstnání</w:t>
      </w:r>
      <w:r w:rsidR="00297E96">
        <w:rPr>
          <w:rFonts w:ascii="Arial" w:hAnsi="Arial" w:cs="Arial"/>
          <w:bCs/>
          <w:iCs/>
          <w:sz w:val="24"/>
          <w:szCs w:val="24"/>
        </w:rPr>
        <w:t xml:space="preserve"> j</w:t>
      </w:r>
      <w:r w:rsidR="00147C9B">
        <w:rPr>
          <w:rFonts w:ascii="Arial" w:hAnsi="Arial" w:cs="Arial"/>
          <w:bCs/>
          <w:iCs/>
          <w:sz w:val="24"/>
          <w:szCs w:val="24"/>
        </w:rPr>
        <w:t>e</w:t>
      </w:r>
      <w:r w:rsidR="00297E96">
        <w:rPr>
          <w:rFonts w:ascii="Arial" w:hAnsi="Arial" w:cs="Arial"/>
          <w:bCs/>
          <w:iCs/>
          <w:sz w:val="24"/>
          <w:szCs w:val="24"/>
        </w:rPr>
        <w:t xml:space="preserve"> </w:t>
      </w:r>
      <w:r w:rsidR="00297E96" w:rsidRPr="00147C9B">
        <w:rPr>
          <w:rFonts w:ascii="Arial" w:hAnsi="Arial" w:cs="Arial"/>
          <w:b/>
          <w:bCs/>
          <w:iCs/>
          <w:sz w:val="24"/>
          <w:szCs w:val="24"/>
        </w:rPr>
        <w:t>ve mzdové sféře odměňována vyšší mzdou</w:t>
      </w:r>
      <w:r w:rsidR="00297E96">
        <w:rPr>
          <w:rFonts w:ascii="Arial" w:hAnsi="Arial" w:cs="Arial"/>
          <w:bCs/>
          <w:iCs/>
          <w:sz w:val="24"/>
          <w:szCs w:val="24"/>
        </w:rPr>
        <w:t xml:space="preserve"> než ve sféře platové. </w:t>
      </w:r>
      <w:r w:rsidR="00147C9B">
        <w:rPr>
          <w:rFonts w:ascii="Arial" w:hAnsi="Arial" w:cs="Arial"/>
          <w:bCs/>
          <w:iCs/>
          <w:sz w:val="24"/>
          <w:szCs w:val="24"/>
        </w:rPr>
        <w:t xml:space="preserve">V platové sféře si v 1. pololetí 2012 vydělali více </w:t>
      </w:r>
      <w:r w:rsidR="0048033C">
        <w:rPr>
          <w:rFonts w:ascii="Arial" w:hAnsi="Arial" w:cs="Arial"/>
          <w:bCs/>
          <w:iCs/>
          <w:sz w:val="24"/>
          <w:szCs w:val="24"/>
        </w:rPr>
        <w:t xml:space="preserve">než ve mzdové sféře </w:t>
      </w:r>
      <w:r w:rsidR="00147C9B">
        <w:rPr>
          <w:rFonts w:ascii="Arial" w:hAnsi="Arial" w:cs="Arial"/>
          <w:bCs/>
          <w:iCs/>
          <w:sz w:val="24"/>
          <w:szCs w:val="24"/>
        </w:rPr>
        <w:t xml:space="preserve">úředníci, pracovníci ve službách a prodeji, a pracovníci zaměstnaní jako obsluha strojů a zařízení. Ve sledovaném období byli v obou sférách </w:t>
      </w:r>
      <w:r w:rsidR="00147C9B" w:rsidRPr="0048033C">
        <w:rPr>
          <w:rFonts w:ascii="Arial" w:hAnsi="Arial" w:cs="Arial"/>
          <w:b/>
          <w:bCs/>
          <w:iCs/>
          <w:sz w:val="24"/>
          <w:szCs w:val="24"/>
        </w:rPr>
        <w:t>nejlépe odměňováni řídící pracovníci</w:t>
      </w:r>
      <w:r w:rsidR="00147C9B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47C9B" w:rsidRPr="0048033C">
        <w:rPr>
          <w:rFonts w:ascii="Arial" w:hAnsi="Arial" w:cs="Arial"/>
          <w:b/>
          <w:bCs/>
          <w:iCs/>
          <w:sz w:val="24"/>
          <w:szCs w:val="24"/>
        </w:rPr>
        <w:t>nejhůře pomocní a nekvalifikovaní pracovníci</w:t>
      </w:r>
      <w:r w:rsidR="00147C9B">
        <w:rPr>
          <w:rFonts w:ascii="Arial" w:hAnsi="Arial" w:cs="Arial"/>
          <w:bCs/>
          <w:iCs/>
          <w:sz w:val="24"/>
          <w:szCs w:val="24"/>
        </w:rPr>
        <w:t>.</w:t>
      </w:r>
    </w:p>
    <w:p w:rsidR="00B73099" w:rsidRPr="0055566C" w:rsidRDefault="0055566C" w:rsidP="0055566C">
      <w:pPr>
        <w:pStyle w:val="Titulek"/>
        <w:keepNext/>
        <w:spacing w:before="360" w:after="120"/>
        <w:jc w:val="both"/>
        <w:rPr>
          <w:rFonts w:cs="Arial"/>
          <w:sz w:val="22"/>
          <w:szCs w:val="22"/>
        </w:rPr>
      </w:pPr>
      <w:r w:rsidRPr="005B5807">
        <w:rPr>
          <w:rFonts w:cs="Arial"/>
          <w:sz w:val="22"/>
          <w:szCs w:val="22"/>
        </w:rPr>
        <w:t xml:space="preserve">Graf </w:t>
      </w:r>
      <w:r w:rsidR="00455187" w:rsidRPr="005B5807">
        <w:rPr>
          <w:rFonts w:cs="Arial"/>
          <w:sz w:val="22"/>
          <w:szCs w:val="22"/>
        </w:rPr>
        <w:fldChar w:fldCharType="begin"/>
      </w:r>
      <w:r w:rsidRPr="005B5807">
        <w:rPr>
          <w:rFonts w:cs="Arial"/>
          <w:sz w:val="22"/>
          <w:szCs w:val="22"/>
        </w:rPr>
        <w:instrText xml:space="preserve"> SEQ Graf \* ARABIC </w:instrText>
      </w:r>
      <w:r w:rsidR="00455187" w:rsidRPr="005B5807">
        <w:rPr>
          <w:rFonts w:cs="Arial"/>
          <w:sz w:val="22"/>
          <w:szCs w:val="22"/>
        </w:rPr>
        <w:fldChar w:fldCharType="separate"/>
      </w:r>
      <w:r w:rsidR="00DE78B7">
        <w:rPr>
          <w:rFonts w:cs="Arial"/>
          <w:noProof/>
          <w:sz w:val="22"/>
          <w:szCs w:val="22"/>
        </w:rPr>
        <w:t>2</w:t>
      </w:r>
      <w:r w:rsidR="00455187" w:rsidRPr="005B5807">
        <w:rPr>
          <w:rFonts w:cs="Arial"/>
          <w:sz w:val="22"/>
          <w:szCs w:val="22"/>
        </w:rPr>
        <w:fldChar w:fldCharType="end"/>
      </w:r>
      <w:r w:rsidRPr="005B5807">
        <w:rPr>
          <w:rFonts w:cs="Arial"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t>Medián hrubé měsíční mzdy</w:t>
      </w:r>
      <w:r>
        <w:rPr>
          <w:rFonts w:cs="Arial"/>
          <w:sz w:val="22"/>
          <w:szCs w:val="22"/>
          <w:lang w:val="en-US"/>
        </w:rPr>
        <w:t>/</w:t>
      </w:r>
      <w:r>
        <w:rPr>
          <w:rFonts w:cs="Arial"/>
          <w:sz w:val="22"/>
          <w:szCs w:val="22"/>
        </w:rPr>
        <w:t>platu podle hlavních tříd zaměstnání v </w:t>
      </w:r>
      <w:r w:rsidRPr="005B5807">
        <w:rPr>
          <w:rFonts w:cs="Arial"/>
          <w:sz w:val="22"/>
          <w:szCs w:val="22"/>
        </w:rPr>
        <w:t>1. pololetí 201</w:t>
      </w:r>
      <w:r>
        <w:rPr>
          <w:rFonts w:cs="Arial"/>
          <w:sz w:val="22"/>
          <w:szCs w:val="22"/>
        </w:rPr>
        <w:t>2.</w:t>
      </w:r>
    </w:p>
    <w:p w:rsidR="005C662F" w:rsidRDefault="00297E96" w:rsidP="00286A0E">
      <w:pPr>
        <w:spacing w:after="12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857875" cy="2914650"/>
            <wp:effectExtent l="0" t="0" r="9525" b="1905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662F" w:rsidRPr="0055566C" w:rsidRDefault="0055566C" w:rsidP="00286A0E">
      <w:pPr>
        <w:spacing w:after="12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55566C">
        <w:rPr>
          <w:rFonts w:ascii="Arial" w:hAnsi="Arial" w:cs="Arial"/>
          <w:bCs/>
          <w:iCs/>
          <w:sz w:val="20"/>
          <w:szCs w:val="20"/>
        </w:rPr>
        <w:t xml:space="preserve">Zdroj: </w:t>
      </w:r>
      <w:r w:rsidR="006B3717">
        <w:rPr>
          <w:rFonts w:ascii="Arial" w:hAnsi="Arial" w:cs="Arial"/>
          <w:bCs/>
          <w:iCs/>
          <w:sz w:val="20"/>
          <w:szCs w:val="20"/>
        </w:rPr>
        <w:tab/>
      </w:r>
      <w:hyperlink r:id="rId10" w:history="1">
        <w:r w:rsidR="006B3717" w:rsidRPr="002236CA">
          <w:rPr>
            <w:rStyle w:val="Hypertextovodkaz"/>
            <w:rFonts w:ascii="Arial" w:hAnsi="Arial" w:cs="Arial"/>
            <w:bCs/>
            <w:iCs/>
            <w:sz w:val="20"/>
            <w:szCs w:val="20"/>
          </w:rPr>
          <w:t>ISPV</w:t>
        </w:r>
      </w:hyperlink>
      <w:r w:rsidRPr="0055566C">
        <w:rPr>
          <w:rFonts w:ascii="Arial" w:hAnsi="Arial" w:cs="Arial"/>
          <w:bCs/>
          <w:iCs/>
          <w:sz w:val="20"/>
          <w:szCs w:val="20"/>
        </w:rPr>
        <w:t>.</w:t>
      </w:r>
    </w:p>
    <w:p w:rsidR="002A3764" w:rsidRPr="002A3764" w:rsidRDefault="002A3764" w:rsidP="00A53C5B">
      <w:pPr>
        <w:keepNext/>
        <w:spacing w:before="600" w:after="360" w:line="240" w:lineRule="auto"/>
        <w:jc w:val="both"/>
        <w:rPr>
          <w:rFonts w:ascii="Arial" w:hAnsi="Arial" w:cs="Arial"/>
          <w:b/>
          <w:bCs/>
          <w:iCs/>
          <w:color w:val="D99594"/>
          <w:sz w:val="24"/>
          <w:szCs w:val="24"/>
        </w:rPr>
      </w:pPr>
      <w:r w:rsidRPr="002A3764">
        <w:rPr>
          <w:rFonts w:ascii="Arial" w:hAnsi="Arial" w:cs="Arial"/>
          <w:b/>
          <w:bCs/>
          <w:iCs/>
          <w:color w:val="D99594"/>
          <w:sz w:val="24"/>
          <w:szCs w:val="24"/>
        </w:rPr>
        <w:t>Zaměstnání s největšími změnami v úrovni mezd a platů</w:t>
      </w:r>
    </w:p>
    <w:p w:rsidR="002A3764" w:rsidRPr="009E1DB6" w:rsidRDefault="002A3764" w:rsidP="002A3764">
      <w:pPr>
        <w:pStyle w:val="Normlnweb"/>
        <w:keepNext/>
        <w:keepLines/>
        <w:spacing w:before="120" w:beforeAutospacing="0" w:after="120" w:afterAutospacing="0"/>
        <w:jc w:val="both"/>
        <w:rPr>
          <w:rFonts w:ascii="Arial" w:hAnsi="Arial" w:cs="Arial"/>
          <w:bCs/>
          <w:iCs/>
        </w:rPr>
      </w:pPr>
      <w:r w:rsidRPr="009E1DB6">
        <w:rPr>
          <w:rFonts w:ascii="Arial" w:hAnsi="Arial" w:cs="Arial"/>
          <w:bCs/>
          <w:iCs/>
        </w:rPr>
        <w:t xml:space="preserve">Z hlediska největších relativních meziročních změn mediánu hrubé měsíční mzdy si </w:t>
      </w:r>
      <w:r w:rsidRPr="009E1DB6">
        <w:rPr>
          <w:rFonts w:ascii="Arial" w:hAnsi="Arial" w:cs="Arial"/>
          <w:b/>
          <w:bCs/>
          <w:iCs/>
        </w:rPr>
        <w:t>v</w:t>
      </w:r>
      <w:r w:rsidR="00677BE2" w:rsidRPr="009E1DB6">
        <w:rPr>
          <w:rFonts w:ascii="Arial" w:hAnsi="Arial" w:cs="Arial"/>
          <w:b/>
          <w:bCs/>
          <w:iCs/>
        </w:rPr>
        <w:t>e mzdové sféře</w:t>
      </w:r>
      <w:r w:rsidRPr="009E1DB6">
        <w:rPr>
          <w:rFonts w:ascii="Arial" w:hAnsi="Arial" w:cs="Arial"/>
          <w:b/>
          <w:bCs/>
          <w:iCs/>
        </w:rPr>
        <w:t xml:space="preserve"> v</w:t>
      </w:r>
      <w:r w:rsidR="00677BE2" w:rsidRPr="009E1DB6">
        <w:rPr>
          <w:rFonts w:ascii="Arial" w:hAnsi="Arial" w:cs="Arial"/>
          <w:b/>
          <w:bCs/>
          <w:iCs/>
        </w:rPr>
        <w:t> 1. pololetí 2012</w:t>
      </w:r>
      <w:r w:rsidRPr="009E1DB6">
        <w:rPr>
          <w:rFonts w:ascii="Arial" w:hAnsi="Arial" w:cs="Arial"/>
          <w:b/>
          <w:bCs/>
          <w:iCs/>
        </w:rPr>
        <w:t xml:space="preserve"> polepšili nejvíce </w:t>
      </w:r>
      <w:r w:rsidR="00E24861">
        <w:rPr>
          <w:rFonts w:ascii="Arial" w:hAnsi="Arial" w:cs="Arial"/>
          <w:b/>
          <w:bCs/>
          <w:iCs/>
        </w:rPr>
        <w:t>ř</w:t>
      </w:r>
      <w:r w:rsidR="00E24861" w:rsidRPr="00E24861">
        <w:rPr>
          <w:rFonts w:ascii="Arial" w:hAnsi="Arial" w:cs="Arial"/>
          <w:b/>
          <w:bCs/>
          <w:iCs/>
        </w:rPr>
        <w:t>ídící pracovníci v oblasti finančních a pojišťovacích služeb</w:t>
      </w:r>
      <w:r w:rsidRPr="009E1DB6">
        <w:rPr>
          <w:rFonts w:ascii="Arial" w:hAnsi="Arial" w:cs="Arial"/>
          <w:bCs/>
          <w:iCs/>
        </w:rPr>
        <w:t xml:space="preserve">, kterým se meziročně zvýšila mzda o </w:t>
      </w:r>
      <w:r w:rsidR="009E1DB6" w:rsidRPr="009E1DB6">
        <w:rPr>
          <w:rFonts w:ascii="Arial" w:hAnsi="Arial" w:cs="Arial"/>
          <w:bCs/>
          <w:iCs/>
        </w:rPr>
        <w:t>1</w:t>
      </w:r>
      <w:r w:rsidR="00E24861">
        <w:rPr>
          <w:rFonts w:ascii="Arial" w:hAnsi="Arial" w:cs="Arial"/>
          <w:bCs/>
          <w:iCs/>
        </w:rPr>
        <w:t>0,7</w:t>
      </w:r>
      <w:r w:rsidRPr="009E1DB6">
        <w:rPr>
          <w:rFonts w:ascii="Arial" w:hAnsi="Arial" w:cs="Arial"/>
          <w:bCs/>
          <w:iCs/>
        </w:rPr>
        <w:t xml:space="preserve"> %. </w:t>
      </w:r>
      <w:r w:rsidRPr="009E1DB6">
        <w:rPr>
          <w:rFonts w:ascii="Arial" w:hAnsi="Arial" w:cs="Arial"/>
          <w:b/>
          <w:bCs/>
          <w:iCs/>
        </w:rPr>
        <w:t>V </w:t>
      </w:r>
      <w:r w:rsidR="00677BE2" w:rsidRPr="009E1DB6">
        <w:rPr>
          <w:rFonts w:ascii="Arial" w:hAnsi="Arial" w:cs="Arial"/>
          <w:b/>
          <w:bCs/>
          <w:iCs/>
        </w:rPr>
        <w:t>platové</w:t>
      </w:r>
      <w:r w:rsidRPr="009E1DB6">
        <w:rPr>
          <w:rFonts w:ascii="Arial" w:hAnsi="Arial" w:cs="Arial"/>
          <w:b/>
          <w:bCs/>
          <w:iCs/>
        </w:rPr>
        <w:t xml:space="preserve"> sféře </w:t>
      </w:r>
      <w:r w:rsidRPr="009E1DB6">
        <w:rPr>
          <w:rFonts w:ascii="Arial" w:hAnsi="Arial" w:cs="Arial"/>
          <w:bCs/>
          <w:iCs/>
        </w:rPr>
        <w:t>si nejvíce polepšil</w:t>
      </w:r>
      <w:r w:rsidR="00503383" w:rsidRPr="009E1DB6">
        <w:rPr>
          <w:rFonts w:ascii="Arial" w:hAnsi="Arial" w:cs="Arial"/>
          <w:bCs/>
          <w:iCs/>
        </w:rPr>
        <w:t>i</w:t>
      </w:r>
      <w:r w:rsidRPr="009E1DB6">
        <w:rPr>
          <w:rFonts w:ascii="Arial" w:hAnsi="Arial" w:cs="Arial"/>
          <w:b/>
          <w:bCs/>
          <w:iCs/>
        </w:rPr>
        <w:t xml:space="preserve"> </w:t>
      </w:r>
      <w:r w:rsidR="009E1DB6" w:rsidRPr="009E1DB6">
        <w:rPr>
          <w:rFonts w:ascii="Arial" w:hAnsi="Arial" w:cs="Arial"/>
          <w:b/>
          <w:bCs/>
          <w:iCs/>
        </w:rPr>
        <w:t>učitelé v mateřských školách</w:t>
      </w:r>
      <w:r w:rsidRPr="009E1DB6">
        <w:rPr>
          <w:rFonts w:ascii="Arial" w:hAnsi="Arial" w:cs="Arial"/>
          <w:bCs/>
          <w:iCs/>
        </w:rPr>
        <w:t xml:space="preserve">, kterým se plat zvýšil o </w:t>
      </w:r>
      <w:r w:rsidR="009E1DB6" w:rsidRPr="009E1DB6">
        <w:rPr>
          <w:rFonts w:ascii="Arial" w:hAnsi="Arial" w:cs="Arial"/>
          <w:bCs/>
          <w:iCs/>
        </w:rPr>
        <w:t>13,5</w:t>
      </w:r>
      <w:r w:rsidRPr="009E1DB6">
        <w:rPr>
          <w:rFonts w:ascii="Arial" w:hAnsi="Arial" w:cs="Arial"/>
          <w:bCs/>
          <w:iCs/>
        </w:rPr>
        <w:t xml:space="preserve"> %.</w:t>
      </w:r>
    </w:p>
    <w:p w:rsidR="002A3764" w:rsidRPr="00C53320" w:rsidRDefault="002A3764" w:rsidP="002A3764">
      <w:pPr>
        <w:pStyle w:val="Normlnweb"/>
        <w:keepLines/>
        <w:spacing w:before="120" w:beforeAutospacing="0" w:after="120" w:afterAutospacing="0"/>
        <w:jc w:val="both"/>
        <w:rPr>
          <w:rFonts w:ascii="Arial" w:hAnsi="Arial" w:cs="Arial"/>
          <w:bCs/>
          <w:iCs/>
        </w:rPr>
      </w:pPr>
      <w:r w:rsidRPr="00677BE2">
        <w:rPr>
          <w:rFonts w:ascii="Arial" w:hAnsi="Arial" w:cs="Arial"/>
          <w:b/>
          <w:bCs/>
          <w:iCs/>
        </w:rPr>
        <w:t xml:space="preserve">Největší meziroční pokles </w:t>
      </w:r>
      <w:r w:rsidRPr="009E1DB6">
        <w:rPr>
          <w:rFonts w:ascii="Arial" w:hAnsi="Arial" w:cs="Arial"/>
          <w:bCs/>
          <w:iCs/>
        </w:rPr>
        <w:t>hrubé měsíční mzdy</w:t>
      </w:r>
      <w:r w:rsidR="00677BE2" w:rsidRPr="009E1DB6">
        <w:rPr>
          <w:rFonts w:ascii="Arial" w:hAnsi="Arial" w:cs="Arial"/>
          <w:b/>
          <w:bCs/>
          <w:iCs/>
        </w:rPr>
        <w:t xml:space="preserve"> v 1. pololetí 2012 </w:t>
      </w:r>
      <w:r w:rsidRPr="009E1DB6">
        <w:rPr>
          <w:rFonts w:ascii="Arial" w:hAnsi="Arial" w:cs="Arial"/>
          <w:bCs/>
          <w:iCs/>
        </w:rPr>
        <w:t xml:space="preserve">byl </w:t>
      </w:r>
      <w:r w:rsidRPr="009E1DB6">
        <w:rPr>
          <w:rFonts w:ascii="Arial" w:hAnsi="Arial" w:cs="Arial"/>
          <w:b/>
          <w:bCs/>
          <w:iCs/>
        </w:rPr>
        <w:t>v</w:t>
      </w:r>
      <w:r w:rsidR="00677BE2" w:rsidRPr="009E1DB6">
        <w:rPr>
          <w:rFonts w:ascii="Arial" w:hAnsi="Arial" w:cs="Arial"/>
          <w:b/>
          <w:bCs/>
          <w:iCs/>
        </w:rPr>
        <w:t>e</w:t>
      </w:r>
      <w:r w:rsidRPr="009E1DB6">
        <w:rPr>
          <w:rFonts w:ascii="Arial" w:hAnsi="Arial" w:cs="Arial"/>
          <w:b/>
          <w:bCs/>
          <w:iCs/>
        </w:rPr>
        <w:t> </w:t>
      </w:r>
      <w:r w:rsidR="00677BE2" w:rsidRPr="009E1DB6">
        <w:rPr>
          <w:rFonts w:ascii="Arial" w:hAnsi="Arial" w:cs="Arial"/>
          <w:b/>
          <w:bCs/>
          <w:iCs/>
        </w:rPr>
        <w:t>mzdové</w:t>
      </w:r>
      <w:r w:rsidRPr="009E1DB6">
        <w:rPr>
          <w:rFonts w:ascii="Arial" w:hAnsi="Arial" w:cs="Arial"/>
          <w:b/>
          <w:bCs/>
          <w:iCs/>
        </w:rPr>
        <w:t xml:space="preserve"> sféře </w:t>
      </w:r>
      <w:r w:rsidRPr="009E1DB6">
        <w:rPr>
          <w:rFonts w:ascii="Arial" w:hAnsi="Arial" w:cs="Arial"/>
          <w:bCs/>
          <w:iCs/>
        </w:rPr>
        <w:t xml:space="preserve">zaznamenán </w:t>
      </w:r>
      <w:r w:rsidRPr="009E1DB6">
        <w:rPr>
          <w:rFonts w:ascii="Arial" w:hAnsi="Arial" w:cs="Arial"/>
          <w:b/>
          <w:bCs/>
          <w:iCs/>
        </w:rPr>
        <w:t xml:space="preserve">u </w:t>
      </w:r>
      <w:r w:rsidR="009E1DB6" w:rsidRPr="009E1DB6">
        <w:rPr>
          <w:rFonts w:ascii="Arial" w:hAnsi="Arial" w:cs="Arial"/>
          <w:b/>
          <w:bCs/>
          <w:iCs/>
        </w:rPr>
        <w:t>mechaniků a opravářů elektronických přístrojů</w:t>
      </w:r>
      <w:r w:rsidRPr="009E1DB6">
        <w:rPr>
          <w:rFonts w:ascii="Arial" w:hAnsi="Arial" w:cs="Arial"/>
          <w:bCs/>
          <w:iCs/>
        </w:rPr>
        <w:t xml:space="preserve">, kterým mzdy poklesly o </w:t>
      </w:r>
      <w:r w:rsidR="009E1DB6" w:rsidRPr="009E1DB6">
        <w:rPr>
          <w:rFonts w:ascii="Arial" w:hAnsi="Arial" w:cs="Arial"/>
          <w:bCs/>
          <w:iCs/>
        </w:rPr>
        <w:t>8</w:t>
      </w:r>
      <w:r w:rsidR="0077646D">
        <w:rPr>
          <w:rFonts w:ascii="Arial" w:hAnsi="Arial" w:cs="Arial"/>
          <w:bCs/>
          <w:iCs/>
        </w:rPr>
        <w:t>,0</w:t>
      </w:r>
      <w:bookmarkStart w:id="0" w:name="_GoBack"/>
      <w:bookmarkEnd w:id="0"/>
      <w:r w:rsidRPr="009E1DB6">
        <w:rPr>
          <w:rFonts w:ascii="Arial" w:hAnsi="Arial" w:cs="Arial"/>
          <w:bCs/>
          <w:iCs/>
        </w:rPr>
        <w:t xml:space="preserve"> %. </w:t>
      </w:r>
      <w:r w:rsidR="00677BE2" w:rsidRPr="009E1DB6">
        <w:rPr>
          <w:rFonts w:ascii="Arial" w:hAnsi="Arial" w:cs="Arial"/>
          <w:b/>
          <w:bCs/>
          <w:iCs/>
        </w:rPr>
        <w:t>V platové</w:t>
      </w:r>
      <w:r w:rsidRPr="009E1DB6">
        <w:rPr>
          <w:rFonts w:ascii="Arial" w:hAnsi="Arial" w:cs="Arial"/>
          <w:b/>
          <w:bCs/>
          <w:iCs/>
        </w:rPr>
        <w:t xml:space="preserve"> sféře</w:t>
      </w:r>
      <w:r w:rsidRPr="009E1DB6">
        <w:rPr>
          <w:rFonts w:ascii="Arial" w:hAnsi="Arial" w:cs="Arial"/>
          <w:bCs/>
          <w:iCs/>
        </w:rPr>
        <w:t xml:space="preserve"> si meziročně nejvíce pohoršili </w:t>
      </w:r>
      <w:r w:rsidR="009E1DB6" w:rsidRPr="009E1DB6">
        <w:rPr>
          <w:rFonts w:ascii="Arial" w:hAnsi="Arial" w:cs="Arial"/>
          <w:b/>
          <w:bCs/>
          <w:iCs/>
        </w:rPr>
        <w:t>řídící pracovníci knihoven, muzeí, a v oblasti práva a bezpečnosti</w:t>
      </w:r>
      <w:r w:rsidRPr="00677BE2">
        <w:rPr>
          <w:rFonts w:ascii="Arial" w:hAnsi="Arial" w:cs="Arial"/>
          <w:bCs/>
          <w:iCs/>
        </w:rPr>
        <w:t>, u nichž došlo k</w:t>
      </w:r>
      <w:r w:rsidR="009E1DB6">
        <w:rPr>
          <w:rFonts w:ascii="Arial" w:hAnsi="Arial" w:cs="Arial"/>
          <w:bCs/>
          <w:iCs/>
        </w:rPr>
        <w:t> </w:t>
      </w:r>
      <w:r w:rsidR="009E1DB6" w:rsidRPr="009E1DB6">
        <w:rPr>
          <w:rFonts w:ascii="Arial" w:hAnsi="Arial" w:cs="Arial"/>
          <w:bCs/>
          <w:iCs/>
        </w:rPr>
        <w:t>2,8</w:t>
      </w:r>
      <w:r w:rsidRPr="00677BE2">
        <w:rPr>
          <w:rFonts w:ascii="Arial" w:hAnsi="Arial" w:cs="Arial"/>
          <w:bCs/>
          <w:iCs/>
        </w:rPr>
        <w:t>% poklesu platu.</w:t>
      </w:r>
    </w:p>
    <w:p w:rsidR="002A3764" w:rsidRPr="009E1086" w:rsidRDefault="002A3764" w:rsidP="002A3764">
      <w:pPr>
        <w:pStyle w:val="Normlnweb"/>
        <w:spacing w:before="120" w:beforeAutospacing="0" w:after="120" w:afterAutospacing="0"/>
        <w:jc w:val="both"/>
        <w:rPr>
          <w:rFonts w:ascii="Arial" w:hAnsi="Arial" w:cs="Arial"/>
          <w:bCs/>
          <w:iCs/>
        </w:rPr>
      </w:pPr>
      <w:r w:rsidRPr="009E1086">
        <w:rPr>
          <w:rFonts w:ascii="Arial" w:hAnsi="Arial" w:cs="Arial"/>
          <w:bCs/>
          <w:iCs/>
        </w:rPr>
        <w:t>Žebříček zaměstnání s největšími nárůsty/poklesy ve mzdové sféře uvádí tabulka 1 a v platové sféře tabulka 2.</w:t>
      </w:r>
    </w:p>
    <w:p w:rsidR="002A3764" w:rsidRPr="002A3764" w:rsidRDefault="002A3764" w:rsidP="002A3764">
      <w:pPr>
        <w:pStyle w:val="Titulek"/>
        <w:keepNext/>
        <w:spacing w:before="360" w:after="120"/>
        <w:jc w:val="both"/>
        <w:rPr>
          <w:rFonts w:cs="Arial"/>
          <w:sz w:val="22"/>
          <w:szCs w:val="22"/>
        </w:rPr>
      </w:pPr>
      <w:r w:rsidRPr="002A3764">
        <w:rPr>
          <w:rFonts w:cs="Arial"/>
          <w:sz w:val="22"/>
          <w:szCs w:val="22"/>
        </w:rPr>
        <w:lastRenderedPageBreak/>
        <w:t xml:space="preserve">Tabulka </w:t>
      </w:r>
      <w:r w:rsidR="00455187" w:rsidRPr="002A3764">
        <w:rPr>
          <w:rFonts w:cs="Arial"/>
          <w:sz w:val="22"/>
          <w:szCs w:val="22"/>
        </w:rPr>
        <w:fldChar w:fldCharType="begin"/>
      </w:r>
      <w:r w:rsidRPr="002A3764">
        <w:rPr>
          <w:rFonts w:cs="Arial"/>
          <w:sz w:val="22"/>
          <w:szCs w:val="22"/>
        </w:rPr>
        <w:instrText xml:space="preserve"> SEQ Tabulka \* ARABIC </w:instrText>
      </w:r>
      <w:r w:rsidR="00455187" w:rsidRPr="002A3764">
        <w:rPr>
          <w:rFonts w:cs="Arial"/>
          <w:sz w:val="22"/>
          <w:szCs w:val="22"/>
        </w:rPr>
        <w:fldChar w:fldCharType="separate"/>
      </w:r>
      <w:r w:rsidR="00DE78B7">
        <w:rPr>
          <w:rFonts w:cs="Arial"/>
          <w:noProof/>
          <w:sz w:val="22"/>
          <w:szCs w:val="22"/>
        </w:rPr>
        <w:t>1</w:t>
      </w:r>
      <w:r w:rsidR="00455187" w:rsidRPr="002A3764">
        <w:rPr>
          <w:rFonts w:cs="Arial"/>
          <w:sz w:val="22"/>
          <w:szCs w:val="22"/>
        </w:rPr>
        <w:fldChar w:fldCharType="end"/>
      </w:r>
      <w:r w:rsidRPr="002A3764">
        <w:rPr>
          <w:rFonts w:cs="Arial"/>
          <w:sz w:val="22"/>
          <w:szCs w:val="22"/>
        </w:rPr>
        <w:t>: Zaměstnání s největší relativní meziroční změnou mediánu hrubé měsíční mzdy ve mzdové sféře v 1. pololetí 2012.</w:t>
      </w:r>
    </w:p>
    <w:tbl>
      <w:tblPr>
        <w:tblW w:w="9121" w:type="dxa"/>
        <w:jc w:val="center"/>
        <w:tblInd w:w="-94" w:type="dxa"/>
        <w:tblCellMar>
          <w:left w:w="70" w:type="dxa"/>
          <w:right w:w="70" w:type="dxa"/>
        </w:tblCellMar>
        <w:tblLook w:val="04A0"/>
      </w:tblPr>
      <w:tblGrid>
        <w:gridCol w:w="464"/>
        <w:gridCol w:w="6491"/>
        <w:gridCol w:w="1074"/>
        <w:gridCol w:w="78"/>
        <w:gridCol w:w="985"/>
        <w:gridCol w:w="29"/>
      </w:tblGrid>
      <w:tr w:rsidR="00E81F49" w:rsidRPr="002236CA" w:rsidTr="00E81F49">
        <w:trPr>
          <w:gridAfter w:val="1"/>
          <w:wAfter w:w="29" w:type="dxa"/>
          <w:trHeight w:val="418"/>
          <w:jc w:val="center"/>
        </w:trPr>
        <w:tc>
          <w:tcPr>
            <w:tcW w:w="6955" w:type="dxa"/>
            <w:gridSpan w:val="2"/>
            <w:vMerge w:val="restart"/>
            <w:tcBorders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Zaměstnání</w:t>
            </w:r>
          </w:p>
        </w:tc>
        <w:tc>
          <w:tcPr>
            <w:tcW w:w="107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Medián mzdy</w:t>
            </w:r>
          </w:p>
        </w:tc>
        <w:tc>
          <w:tcPr>
            <w:tcW w:w="1063" w:type="dxa"/>
            <w:gridSpan w:val="2"/>
            <w:tcBorders>
              <w:lef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Meziroční index</w:t>
            </w:r>
          </w:p>
        </w:tc>
      </w:tr>
      <w:tr w:rsidR="00E81F49" w:rsidRPr="002236CA" w:rsidTr="00E81F49">
        <w:trPr>
          <w:gridAfter w:val="1"/>
          <w:wAfter w:w="29" w:type="dxa"/>
          <w:trHeight w:val="58"/>
          <w:jc w:val="center"/>
        </w:trPr>
        <w:tc>
          <w:tcPr>
            <w:tcW w:w="6955" w:type="dxa"/>
            <w:gridSpan w:val="2"/>
            <w:vMerge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[Kč/měsíc]</w:t>
            </w:r>
          </w:p>
        </w:tc>
        <w:tc>
          <w:tcPr>
            <w:tcW w:w="1063" w:type="dxa"/>
            <w:gridSpan w:val="2"/>
            <w:tcBorders>
              <w:lef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[%]</w:t>
            </w:r>
          </w:p>
        </w:tc>
      </w:tr>
      <w:tr w:rsidR="00E81F49" w:rsidRPr="002236CA" w:rsidTr="00E81F49">
        <w:trPr>
          <w:trHeight w:val="58"/>
          <w:jc w:val="center"/>
        </w:trPr>
        <w:tc>
          <w:tcPr>
            <w:tcW w:w="9121" w:type="dxa"/>
            <w:gridSpan w:val="6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  <w:noWrap/>
            <w:vAlign w:val="center"/>
            <w:hideMark/>
          </w:tcPr>
          <w:p w:rsidR="00E81F49" w:rsidRPr="002236CA" w:rsidRDefault="00E81F49" w:rsidP="00D92BAD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Nárůst:</w:t>
            </w:r>
          </w:p>
        </w:tc>
      </w:tr>
      <w:tr w:rsidR="00E24861" w:rsidRPr="002236CA" w:rsidTr="0022572E">
        <w:trPr>
          <w:trHeight w:val="183"/>
          <w:jc w:val="center"/>
        </w:trPr>
        <w:tc>
          <w:tcPr>
            <w:tcW w:w="464" w:type="dxa"/>
            <w:tcBorders>
              <w:top w:val="single" w:sz="12" w:space="0" w:color="FFFFFF" w:themeColor="background1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491" w:type="dxa"/>
            <w:tcBorders>
              <w:top w:val="single" w:sz="12" w:space="0" w:color="FFFFFF" w:themeColor="background1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Řídící pracovníci v oblasti finančních a pojišťovacích služeb</w:t>
            </w:r>
          </w:p>
        </w:tc>
        <w:tc>
          <w:tcPr>
            <w:tcW w:w="1152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84 040</w:t>
            </w:r>
          </w:p>
        </w:tc>
        <w:tc>
          <w:tcPr>
            <w:tcW w:w="1014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110,7</w:t>
            </w:r>
          </w:p>
        </w:tc>
      </w:tr>
      <w:tr w:rsidR="00E24861" w:rsidRPr="002236CA" w:rsidTr="0022572E">
        <w:trPr>
          <w:trHeight w:val="82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Řídící pracovníci v oblasti ICT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63 018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0862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110,5</w:t>
            </w:r>
          </w:p>
        </w:tc>
      </w:tr>
      <w:tr w:rsidR="00E24861" w:rsidRPr="002236CA" w:rsidTr="0022572E">
        <w:trPr>
          <w:trHeight w:val="129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12" w:space="0" w:color="FFFFFF" w:themeColor="background1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Pr="00E24861" w:rsidRDefault="00E24861" w:rsidP="00E248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861">
              <w:rPr>
                <w:rFonts w:ascii="Arial" w:hAnsi="Arial" w:cs="Arial"/>
                <w:color w:val="000000"/>
                <w:sz w:val="20"/>
                <w:szCs w:val="20"/>
              </w:rPr>
              <w:t>Řídící pracovníci v oblasti lidských zdrojů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2" w:space="0" w:color="FFFFFF" w:themeColor="background1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Pr="00E24861" w:rsidRDefault="00E24861" w:rsidP="00E248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861">
              <w:rPr>
                <w:rFonts w:ascii="Arial" w:hAnsi="Arial" w:cs="Arial"/>
                <w:color w:val="000000"/>
                <w:sz w:val="20"/>
                <w:szCs w:val="20"/>
              </w:rPr>
              <w:t>47 895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2" w:space="0" w:color="FFFFFF" w:themeColor="background1"/>
            </w:tcBorders>
            <w:shd w:val="clear" w:color="auto" w:fill="auto"/>
            <w:noWrap/>
            <w:vAlign w:val="center"/>
          </w:tcPr>
          <w:p w:rsidR="00E24861" w:rsidRPr="00E24861" w:rsidRDefault="00E24861" w:rsidP="00E248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4861">
              <w:rPr>
                <w:rFonts w:ascii="Arial" w:hAnsi="Arial" w:cs="Arial"/>
                <w:color w:val="000000"/>
                <w:sz w:val="20"/>
                <w:szCs w:val="20"/>
              </w:rPr>
              <w:t>110,5</w:t>
            </w:r>
          </w:p>
        </w:tc>
      </w:tr>
      <w:tr w:rsidR="00E24861" w:rsidRPr="002236CA" w:rsidTr="00E81F49">
        <w:trPr>
          <w:trHeight w:val="58"/>
          <w:jc w:val="center"/>
        </w:trPr>
        <w:tc>
          <w:tcPr>
            <w:tcW w:w="9121" w:type="dxa"/>
            <w:gridSpan w:val="6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5B8B7" w:themeFill="accent2" w:themeFillTint="66"/>
            <w:noWrap/>
            <w:vAlign w:val="center"/>
            <w:hideMark/>
          </w:tcPr>
          <w:p w:rsidR="00E24861" w:rsidRPr="002236CA" w:rsidRDefault="00E24861" w:rsidP="00B50428">
            <w:pPr>
              <w:spacing w:before="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Pokles:</w:t>
            </w:r>
          </w:p>
        </w:tc>
      </w:tr>
      <w:tr w:rsidR="00E24861" w:rsidRPr="002236CA" w:rsidTr="0022572E">
        <w:trPr>
          <w:trHeight w:val="58"/>
          <w:jc w:val="center"/>
        </w:trPr>
        <w:tc>
          <w:tcPr>
            <w:tcW w:w="464" w:type="dxa"/>
            <w:tcBorders>
              <w:top w:val="single" w:sz="12" w:space="0" w:color="FFFFFF" w:themeColor="background1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491" w:type="dxa"/>
            <w:tcBorders>
              <w:top w:val="single" w:sz="12" w:space="0" w:color="FFFFFF" w:themeColor="background1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Mechanici a opraváři elektronických přístrojů</w:t>
            </w:r>
          </w:p>
        </w:tc>
        <w:tc>
          <w:tcPr>
            <w:tcW w:w="1152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20 617</w:t>
            </w:r>
          </w:p>
        </w:tc>
        <w:tc>
          <w:tcPr>
            <w:tcW w:w="1014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92,0</w:t>
            </w:r>
          </w:p>
        </w:tc>
      </w:tr>
      <w:tr w:rsidR="00E24861" w:rsidRPr="002236CA" w:rsidTr="0022572E">
        <w:trPr>
          <w:trHeight w:val="68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Správci objektů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16 032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92,7</w:t>
            </w:r>
          </w:p>
        </w:tc>
      </w:tr>
      <w:tr w:rsidR="00E24861" w:rsidRPr="002236CA" w:rsidTr="0022572E">
        <w:trPr>
          <w:trHeight w:val="68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E24861" w:rsidRPr="002236CA" w:rsidRDefault="00E24861" w:rsidP="00D92BAD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Dělníci v oblasti výstavby budov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14 645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E24861" w:rsidRDefault="00E24861" w:rsidP="00B5042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95,3</w:t>
            </w:r>
          </w:p>
        </w:tc>
      </w:tr>
    </w:tbl>
    <w:p w:rsidR="002A3764" w:rsidRPr="002236CA" w:rsidRDefault="002A3764" w:rsidP="003F147E">
      <w:pPr>
        <w:pStyle w:val="Normlnweb"/>
        <w:tabs>
          <w:tab w:val="left" w:pos="567"/>
        </w:tabs>
        <w:spacing w:before="120" w:beforeAutospacing="0" w:after="360" w:afterAutospacing="0"/>
        <w:jc w:val="both"/>
        <w:rPr>
          <w:rFonts w:ascii="Arial" w:hAnsi="Arial" w:cs="Arial"/>
          <w:bCs/>
          <w:iCs/>
          <w:sz w:val="20"/>
          <w:szCs w:val="20"/>
        </w:rPr>
      </w:pPr>
      <w:r w:rsidRPr="002236CA">
        <w:rPr>
          <w:rFonts w:ascii="Arial" w:hAnsi="Arial" w:cs="Arial"/>
          <w:bCs/>
          <w:iCs/>
          <w:sz w:val="20"/>
          <w:szCs w:val="20"/>
        </w:rPr>
        <w:t>Zdroj: </w:t>
      </w:r>
      <w:r>
        <w:rPr>
          <w:rFonts w:ascii="Arial" w:hAnsi="Arial" w:cs="Arial"/>
          <w:bCs/>
          <w:iCs/>
          <w:sz w:val="20"/>
          <w:szCs w:val="20"/>
        </w:rPr>
        <w:tab/>
      </w:r>
      <w:hyperlink r:id="rId11" w:history="1">
        <w:r w:rsidRPr="002236CA">
          <w:rPr>
            <w:rStyle w:val="Hypertextovodkaz"/>
            <w:rFonts w:ascii="Arial" w:hAnsi="Arial" w:cs="Arial"/>
            <w:bCs/>
            <w:iCs/>
            <w:sz w:val="20"/>
            <w:szCs w:val="20"/>
          </w:rPr>
          <w:t>ISPV</w:t>
        </w:r>
      </w:hyperlink>
      <w:r w:rsidRPr="002236CA">
        <w:rPr>
          <w:rFonts w:ascii="Arial" w:hAnsi="Arial" w:cs="Arial"/>
          <w:bCs/>
          <w:iCs/>
          <w:sz w:val="20"/>
          <w:szCs w:val="20"/>
        </w:rPr>
        <w:t>.</w:t>
      </w:r>
    </w:p>
    <w:p w:rsidR="002A3764" w:rsidRPr="002A3764" w:rsidRDefault="002A3764" w:rsidP="002A3764">
      <w:pPr>
        <w:pStyle w:val="Titulek"/>
        <w:keepNext/>
        <w:spacing w:before="360" w:after="120"/>
        <w:jc w:val="both"/>
        <w:rPr>
          <w:rFonts w:cs="Arial"/>
          <w:sz w:val="22"/>
          <w:szCs w:val="22"/>
        </w:rPr>
      </w:pPr>
      <w:r w:rsidRPr="002A3764">
        <w:rPr>
          <w:rFonts w:cs="Arial"/>
          <w:sz w:val="22"/>
          <w:szCs w:val="22"/>
        </w:rPr>
        <w:t xml:space="preserve">Tabulka </w:t>
      </w:r>
      <w:r w:rsidR="00455187" w:rsidRPr="002A3764">
        <w:rPr>
          <w:rFonts w:cs="Arial"/>
          <w:sz w:val="22"/>
          <w:szCs w:val="22"/>
        </w:rPr>
        <w:fldChar w:fldCharType="begin"/>
      </w:r>
      <w:r w:rsidRPr="002A3764">
        <w:rPr>
          <w:rFonts w:cs="Arial"/>
          <w:sz w:val="22"/>
          <w:szCs w:val="22"/>
        </w:rPr>
        <w:instrText xml:space="preserve"> SEQ Tabulka \* ARABIC </w:instrText>
      </w:r>
      <w:r w:rsidR="00455187" w:rsidRPr="002A3764">
        <w:rPr>
          <w:rFonts w:cs="Arial"/>
          <w:sz w:val="22"/>
          <w:szCs w:val="22"/>
        </w:rPr>
        <w:fldChar w:fldCharType="separate"/>
      </w:r>
      <w:r w:rsidR="00DE78B7">
        <w:rPr>
          <w:rFonts w:cs="Arial"/>
          <w:noProof/>
          <w:sz w:val="22"/>
          <w:szCs w:val="22"/>
        </w:rPr>
        <w:t>2</w:t>
      </w:r>
      <w:r w:rsidR="00455187" w:rsidRPr="002A3764">
        <w:rPr>
          <w:rFonts w:cs="Arial"/>
          <w:sz w:val="22"/>
          <w:szCs w:val="22"/>
        </w:rPr>
        <w:fldChar w:fldCharType="end"/>
      </w:r>
      <w:r w:rsidRPr="002A3764">
        <w:rPr>
          <w:rFonts w:cs="Arial"/>
          <w:sz w:val="22"/>
          <w:szCs w:val="22"/>
        </w:rPr>
        <w:t>: Zaměstnání s největší relativní meziroční změnou mediánu hrubého měsíčního platu v </w:t>
      </w:r>
      <w:r>
        <w:rPr>
          <w:rFonts w:cs="Arial"/>
          <w:sz w:val="22"/>
          <w:szCs w:val="22"/>
        </w:rPr>
        <w:t>platové</w:t>
      </w:r>
      <w:r w:rsidRPr="002A3764">
        <w:rPr>
          <w:rFonts w:cs="Arial"/>
          <w:sz w:val="22"/>
          <w:szCs w:val="22"/>
        </w:rPr>
        <w:t xml:space="preserve"> sféře v</w:t>
      </w:r>
      <w:r>
        <w:rPr>
          <w:rFonts w:cs="Arial"/>
          <w:sz w:val="22"/>
          <w:szCs w:val="22"/>
        </w:rPr>
        <w:t xml:space="preserve"> 1. </w:t>
      </w:r>
      <w:r w:rsidRPr="002A3764">
        <w:rPr>
          <w:rFonts w:cs="Arial"/>
          <w:sz w:val="22"/>
          <w:szCs w:val="22"/>
        </w:rPr>
        <w:t>pololetí 2012.</w:t>
      </w:r>
    </w:p>
    <w:tbl>
      <w:tblPr>
        <w:tblW w:w="9121" w:type="dxa"/>
        <w:jc w:val="center"/>
        <w:tblInd w:w="-94" w:type="dxa"/>
        <w:tblCellMar>
          <w:left w:w="70" w:type="dxa"/>
          <w:right w:w="70" w:type="dxa"/>
        </w:tblCellMar>
        <w:tblLook w:val="04A0"/>
      </w:tblPr>
      <w:tblGrid>
        <w:gridCol w:w="464"/>
        <w:gridCol w:w="6491"/>
        <w:gridCol w:w="1074"/>
        <w:gridCol w:w="78"/>
        <w:gridCol w:w="985"/>
        <w:gridCol w:w="29"/>
      </w:tblGrid>
      <w:tr w:rsidR="00E81F49" w:rsidRPr="002236CA" w:rsidTr="00D54B85">
        <w:trPr>
          <w:gridAfter w:val="1"/>
          <w:wAfter w:w="29" w:type="dxa"/>
          <w:trHeight w:val="418"/>
          <w:jc w:val="center"/>
        </w:trPr>
        <w:tc>
          <w:tcPr>
            <w:tcW w:w="6955" w:type="dxa"/>
            <w:gridSpan w:val="2"/>
            <w:vMerge w:val="restart"/>
            <w:tcBorders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Zaměstnání</w:t>
            </w:r>
          </w:p>
        </w:tc>
        <w:tc>
          <w:tcPr>
            <w:tcW w:w="107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4D0D8E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Medián </w:t>
            </w:r>
            <w:r w:rsidR="004D0D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platu</w:t>
            </w:r>
          </w:p>
        </w:tc>
        <w:tc>
          <w:tcPr>
            <w:tcW w:w="1063" w:type="dxa"/>
            <w:gridSpan w:val="2"/>
            <w:tcBorders>
              <w:lef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Meziroční index</w:t>
            </w:r>
          </w:p>
        </w:tc>
      </w:tr>
      <w:tr w:rsidR="00E81F49" w:rsidRPr="002236CA" w:rsidTr="00D54B85">
        <w:trPr>
          <w:gridAfter w:val="1"/>
          <w:wAfter w:w="29" w:type="dxa"/>
          <w:trHeight w:val="58"/>
          <w:jc w:val="center"/>
        </w:trPr>
        <w:tc>
          <w:tcPr>
            <w:tcW w:w="6955" w:type="dxa"/>
            <w:gridSpan w:val="2"/>
            <w:vMerge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7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[Kč/měsíc]</w:t>
            </w:r>
          </w:p>
        </w:tc>
        <w:tc>
          <w:tcPr>
            <w:tcW w:w="1063" w:type="dxa"/>
            <w:gridSpan w:val="2"/>
            <w:tcBorders>
              <w:left w:val="single" w:sz="12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[%]</w:t>
            </w:r>
          </w:p>
        </w:tc>
      </w:tr>
      <w:tr w:rsidR="00E81F49" w:rsidRPr="002236CA" w:rsidTr="00D54B85">
        <w:trPr>
          <w:trHeight w:val="58"/>
          <w:jc w:val="center"/>
        </w:trPr>
        <w:tc>
          <w:tcPr>
            <w:tcW w:w="9121" w:type="dxa"/>
            <w:gridSpan w:val="6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5B8B7" w:themeFill="accent2" w:themeFillTint="66"/>
            <w:noWrap/>
            <w:vAlign w:val="center"/>
            <w:hideMark/>
          </w:tcPr>
          <w:p w:rsidR="00E81F49" w:rsidRPr="002236CA" w:rsidRDefault="00E81F49" w:rsidP="00D54B85">
            <w:pPr>
              <w:spacing w:before="20" w:after="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Nárůst:</w:t>
            </w:r>
          </w:p>
        </w:tc>
      </w:tr>
      <w:tr w:rsidR="006C2661" w:rsidRPr="002236CA" w:rsidTr="00E81F49">
        <w:trPr>
          <w:trHeight w:val="183"/>
          <w:jc w:val="center"/>
        </w:trPr>
        <w:tc>
          <w:tcPr>
            <w:tcW w:w="464" w:type="dxa"/>
            <w:tcBorders>
              <w:top w:val="single" w:sz="12" w:space="0" w:color="FFFFFF" w:themeColor="background1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491" w:type="dxa"/>
            <w:tcBorders>
              <w:top w:val="single" w:sz="12" w:space="0" w:color="FFFFFF" w:themeColor="background1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Učitelé v mateřských školách</w:t>
            </w:r>
          </w:p>
        </w:tc>
        <w:tc>
          <w:tcPr>
            <w:tcW w:w="1152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21 839</w:t>
            </w:r>
          </w:p>
        </w:tc>
        <w:tc>
          <w:tcPr>
            <w:tcW w:w="1014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12" w:space="0" w:color="FFFFFF" w:themeColor="background1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113,5</w:t>
            </w:r>
          </w:p>
        </w:tc>
      </w:tr>
      <w:tr w:rsidR="006C2661" w:rsidRPr="002236CA" w:rsidTr="00E81F49">
        <w:trPr>
          <w:trHeight w:val="82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Ostatní pedagogičtí pracovníci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22 561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111,6</w:t>
            </w:r>
          </w:p>
        </w:tc>
      </w:tr>
      <w:tr w:rsidR="006C2661" w:rsidRPr="002236CA" w:rsidTr="00E81F49">
        <w:trPr>
          <w:trHeight w:val="129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12" w:space="0" w:color="FFFFFF" w:themeColor="background1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12" w:space="0" w:color="FFFFFF" w:themeColor="background1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Lékaři se specializací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2" w:space="0" w:color="FFFFFF" w:themeColor="background1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53 825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12" w:space="0" w:color="FFFFFF" w:themeColor="background1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109,4</w:t>
            </w:r>
          </w:p>
        </w:tc>
      </w:tr>
      <w:tr w:rsidR="00E81F49" w:rsidRPr="002236CA" w:rsidTr="00D54B85">
        <w:trPr>
          <w:trHeight w:val="58"/>
          <w:jc w:val="center"/>
        </w:trPr>
        <w:tc>
          <w:tcPr>
            <w:tcW w:w="9121" w:type="dxa"/>
            <w:gridSpan w:val="6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E5B8B7" w:themeFill="accent2" w:themeFillTint="66"/>
            <w:noWrap/>
            <w:vAlign w:val="center"/>
            <w:hideMark/>
          </w:tcPr>
          <w:p w:rsidR="00E81F49" w:rsidRPr="002236CA" w:rsidRDefault="00E81F49" w:rsidP="006C2661">
            <w:pPr>
              <w:spacing w:before="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Pokles:</w:t>
            </w:r>
          </w:p>
        </w:tc>
      </w:tr>
      <w:tr w:rsidR="006C2661" w:rsidRPr="002236CA" w:rsidTr="00E81F49">
        <w:trPr>
          <w:trHeight w:val="58"/>
          <w:jc w:val="center"/>
        </w:trPr>
        <w:tc>
          <w:tcPr>
            <w:tcW w:w="464" w:type="dxa"/>
            <w:tcBorders>
              <w:top w:val="single" w:sz="12" w:space="0" w:color="FFFFFF" w:themeColor="background1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491" w:type="dxa"/>
            <w:tcBorders>
              <w:top w:val="single" w:sz="12" w:space="0" w:color="FFFFFF" w:themeColor="background1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Řídící pracovníci knihoven, muzeí, a v oblasti práva a bezpečnosti</w:t>
            </w:r>
          </w:p>
        </w:tc>
        <w:tc>
          <w:tcPr>
            <w:tcW w:w="1152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37 152</w:t>
            </w:r>
          </w:p>
        </w:tc>
        <w:tc>
          <w:tcPr>
            <w:tcW w:w="1014" w:type="dxa"/>
            <w:gridSpan w:val="2"/>
            <w:tcBorders>
              <w:top w:val="single" w:sz="12" w:space="0" w:color="FFFFFF" w:themeColor="background1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97,2</w:t>
            </w:r>
          </w:p>
        </w:tc>
      </w:tr>
      <w:tr w:rsidR="006C2661" w:rsidRPr="002236CA" w:rsidTr="00E81F49">
        <w:trPr>
          <w:trHeight w:val="68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Úředníci v oblasti statistiky, finančnictví a pojišťovnictví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17 795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98,3</w:t>
            </w:r>
          </w:p>
        </w:tc>
      </w:tr>
      <w:tr w:rsidR="006C2661" w:rsidRPr="002236CA" w:rsidTr="006C2661">
        <w:trPr>
          <w:trHeight w:val="494"/>
          <w:jc w:val="center"/>
        </w:trPr>
        <w:tc>
          <w:tcPr>
            <w:tcW w:w="464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  <w:hideMark/>
          </w:tcPr>
          <w:p w:rsidR="006C2661" w:rsidRPr="002236CA" w:rsidRDefault="006C2661" w:rsidP="00D54B85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236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491" w:type="dxa"/>
            <w:tcBorders>
              <w:top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Technici v oblasti textilní a kožedělné výroby, dřevařství, papírenství a polygrafie</w:t>
            </w:r>
          </w:p>
        </w:tc>
        <w:tc>
          <w:tcPr>
            <w:tcW w:w="1152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  <w:right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22 648</w:t>
            </w:r>
          </w:p>
        </w:tc>
        <w:tc>
          <w:tcPr>
            <w:tcW w:w="1014" w:type="dxa"/>
            <w:gridSpan w:val="2"/>
            <w:tcBorders>
              <w:top w:val="single" w:sz="4" w:space="0" w:color="F2DBDB" w:themeColor="accent2" w:themeTint="33"/>
              <w:left w:val="single" w:sz="4" w:space="0" w:color="F2DBDB" w:themeColor="accent2" w:themeTint="33"/>
              <w:bottom w:val="single" w:sz="4" w:space="0" w:color="F2DBDB" w:themeColor="accent2" w:themeTint="33"/>
            </w:tcBorders>
            <w:shd w:val="clear" w:color="auto" w:fill="auto"/>
            <w:noWrap/>
            <w:vAlign w:val="center"/>
          </w:tcPr>
          <w:p w:rsidR="006C2661" w:rsidRDefault="006C2661" w:rsidP="006C2661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99,2</w:t>
            </w:r>
          </w:p>
        </w:tc>
      </w:tr>
    </w:tbl>
    <w:p w:rsidR="002A3764" w:rsidRPr="002236CA" w:rsidRDefault="002A3764" w:rsidP="003F147E">
      <w:pPr>
        <w:pStyle w:val="Normlnweb"/>
        <w:tabs>
          <w:tab w:val="left" w:pos="567"/>
        </w:tabs>
        <w:spacing w:before="120" w:beforeAutospacing="0" w:after="360" w:afterAutospacing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Zdroj: </w:t>
      </w:r>
      <w:r>
        <w:rPr>
          <w:rFonts w:ascii="Arial" w:hAnsi="Arial" w:cs="Arial"/>
          <w:bCs/>
          <w:iCs/>
          <w:sz w:val="20"/>
          <w:szCs w:val="20"/>
        </w:rPr>
        <w:tab/>
      </w:r>
      <w:hyperlink r:id="rId12" w:history="1">
        <w:r w:rsidRPr="002236CA">
          <w:rPr>
            <w:rStyle w:val="Hypertextovodkaz"/>
            <w:rFonts w:ascii="Arial" w:hAnsi="Arial" w:cs="Arial"/>
            <w:bCs/>
            <w:iCs/>
            <w:sz w:val="20"/>
            <w:szCs w:val="20"/>
          </w:rPr>
          <w:t>ISPV</w:t>
        </w:r>
      </w:hyperlink>
      <w:r w:rsidRPr="002236CA">
        <w:rPr>
          <w:rFonts w:ascii="Arial" w:hAnsi="Arial" w:cs="Arial"/>
          <w:bCs/>
          <w:iCs/>
          <w:sz w:val="20"/>
          <w:szCs w:val="20"/>
        </w:rPr>
        <w:t>.</w:t>
      </w:r>
    </w:p>
    <w:p w:rsidR="0040736C" w:rsidRPr="007E6D0C" w:rsidRDefault="0040736C" w:rsidP="001C438C">
      <w:pPr>
        <w:keepNext/>
        <w:spacing w:before="480" w:after="240" w:line="240" w:lineRule="auto"/>
        <w:jc w:val="both"/>
        <w:rPr>
          <w:rFonts w:ascii="Arial" w:hAnsi="Arial" w:cs="Arial"/>
          <w:b/>
          <w:bCs/>
          <w:iCs/>
          <w:color w:val="D99594" w:themeColor="accent2" w:themeTint="99"/>
          <w:sz w:val="24"/>
          <w:szCs w:val="24"/>
        </w:rPr>
      </w:pPr>
      <w:r w:rsidRPr="007E6D0C">
        <w:rPr>
          <w:rFonts w:ascii="Arial" w:hAnsi="Arial" w:cs="Arial"/>
          <w:b/>
          <w:bCs/>
          <w:iCs/>
          <w:color w:val="D99594" w:themeColor="accent2" w:themeTint="99"/>
          <w:sz w:val="24"/>
          <w:szCs w:val="24"/>
        </w:rPr>
        <w:t>Odpracovaná a neodpracovaná doba</w:t>
      </w:r>
    </w:p>
    <w:p w:rsidR="0040736C" w:rsidRPr="009E1086" w:rsidRDefault="0040736C" w:rsidP="0040736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E1086">
        <w:rPr>
          <w:rFonts w:ascii="Arial" w:hAnsi="Arial" w:cs="Arial"/>
          <w:sz w:val="24"/>
          <w:szCs w:val="24"/>
        </w:rPr>
        <w:t>S vývojem mezd úzce souvisí i vývoj odpracované, příp. neodpracované doby. V</w:t>
      </w:r>
      <w:r w:rsidR="00201739">
        <w:rPr>
          <w:rFonts w:ascii="Arial" w:hAnsi="Arial" w:cs="Arial"/>
          <w:b/>
          <w:sz w:val="24"/>
          <w:szCs w:val="24"/>
        </w:rPr>
        <w:t> 1. </w:t>
      </w:r>
      <w:r w:rsidR="00D92BAD" w:rsidRPr="009E1086">
        <w:rPr>
          <w:rFonts w:ascii="Arial" w:hAnsi="Arial" w:cs="Arial"/>
          <w:b/>
          <w:sz w:val="24"/>
          <w:szCs w:val="24"/>
        </w:rPr>
        <w:t>pololetí 2012</w:t>
      </w:r>
      <w:r w:rsidRPr="009E1086">
        <w:rPr>
          <w:rFonts w:ascii="Arial" w:hAnsi="Arial" w:cs="Arial"/>
          <w:b/>
          <w:sz w:val="24"/>
          <w:szCs w:val="24"/>
        </w:rPr>
        <w:t xml:space="preserve"> odpracovali zaměstnanci ve mzdové sféře </w:t>
      </w:r>
      <w:r w:rsidR="00D92BAD" w:rsidRPr="009E1086">
        <w:rPr>
          <w:rFonts w:ascii="Arial" w:hAnsi="Arial" w:cs="Arial"/>
          <w:b/>
          <w:sz w:val="24"/>
          <w:szCs w:val="24"/>
        </w:rPr>
        <w:t>průměrně 153</w:t>
      </w:r>
      <w:r w:rsidRPr="009E1086">
        <w:rPr>
          <w:rFonts w:ascii="Arial" w:hAnsi="Arial" w:cs="Arial"/>
          <w:b/>
          <w:sz w:val="24"/>
          <w:szCs w:val="24"/>
        </w:rPr>
        <w:t>,</w:t>
      </w:r>
      <w:r w:rsidR="00D92BAD" w:rsidRPr="009E1086">
        <w:rPr>
          <w:rFonts w:ascii="Arial" w:hAnsi="Arial" w:cs="Arial"/>
          <w:b/>
          <w:sz w:val="24"/>
          <w:szCs w:val="24"/>
        </w:rPr>
        <w:t>7</w:t>
      </w:r>
      <w:r w:rsidRPr="009E1086">
        <w:rPr>
          <w:rFonts w:ascii="Arial" w:hAnsi="Arial" w:cs="Arial"/>
          <w:b/>
          <w:sz w:val="24"/>
          <w:szCs w:val="24"/>
        </w:rPr>
        <w:t> hodin za měsíc</w:t>
      </w:r>
      <w:r w:rsidRPr="009E1086">
        <w:rPr>
          <w:rFonts w:ascii="Arial" w:hAnsi="Arial" w:cs="Arial"/>
          <w:sz w:val="24"/>
          <w:szCs w:val="24"/>
        </w:rPr>
        <w:t xml:space="preserve">, </w:t>
      </w:r>
      <w:r w:rsidRPr="009E1086">
        <w:rPr>
          <w:rFonts w:ascii="Arial" w:hAnsi="Arial" w:cs="Arial"/>
          <w:b/>
          <w:sz w:val="24"/>
          <w:szCs w:val="24"/>
        </w:rPr>
        <w:t>v platové sféře 15</w:t>
      </w:r>
      <w:r w:rsidR="00D92BAD" w:rsidRPr="009E1086">
        <w:rPr>
          <w:rFonts w:ascii="Arial" w:hAnsi="Arial" w:cs="Arial"/>
          <w:b/>
          <w:sz w:val="24"/>
          <w:szCs w:val="24"/>
        </w:rPr>
        <w:t>6</w:t>
      </w:r>
      <w:r w:rsidRPr="009E1086">
        <w:rPr>
          <w:rFonts w:ascii="Arial" w:hAnsi="Arial" w:cs="Arial"/>
          <w:b/>
          <w:sz w:val="24"/>
          <w:szCs w:val="24"/>
        </w:rPr>
        <w:t>,</w:t>
      </w:r>
      <w:r w:rsidR="00201739">
        <w:rPr>
          <w:rFonts w:ascii="Arial" w:hAnsi="Arial" w:cs="Arial"/>
          <w:b/>
          <w:sz w:val="24"/>
          <w:szCs w:val="24"/>
        </w:rPr>
        <w:t>8</w:t>
      </w:r>
      <w:r w:rsidRPr="009E1086">
        <w:rPr>
          <w:rFonts w:ascii="Arial" w:hAnsi="Arial" w:cs="Arial"/>
          <w:b/>
          <w:sz w:val="24"/>
          <w:szCs w:val="24"/>
        </w:rPr>
        <w:t> hodin</w:t>
      </w:r>
      <w:r w:rsidRPr="009E1086">
        <w:rPr>
          <w:rFonts w:ascii="Arial" w:hAnsi="Arial" w:cs="Arial"/>
          <w:sz w:val="24"/>
          <w:szCs w:val="24"/>
        </w:rPr>
        <w:t>. Zaměstnanci ve mzdové sféře</w:t>
      </w:r>
      <w:r w:rsidR="00D92BAD" w:rsidRPr="009E1086">
        <w:rPr>
          <w:rFonts w:ascii="Arial" w:hAnsi="Arial" w:cs="Arial"/>
          <w:sz w:val="24"/>
          <w:szCs w:val="24"/>
        </w:rPr>
        <w:t xml:space="preserve"> odpracovali v 1. pololetí 2012</w:t>
      </w:r>
      <w:r w:rsidRPr="009E1086">
        <w:rPr>
          <w:rFonts w:ascii="Arial" w:hAnsi="Arial" w:cs="Arial"/>
          <w:sz w:val="24"/>
          <w:szCs w:val="24"/>
        </w:rPr>
        <w:t xml:space="preserve"> průměrně o </w:t>
      </w:r>
      <w:r w:rsidR="00201739">
        <w:rPr>
          <w:rFonts w:ascii="Arial" w:hAnsi="Arial" w:cs="Arial"/>
          <w:sz w:val="24"/>
          <w:szCs w:val="24"/>
        </w:rPr>
        <w:t>3,1</w:t>
      </w:r>
      <w:r w:rsidRPr="009E1086">
        <w:rPr>
          <w:rFonts w:ascii="Arial" w:hAnsi="Arial" w:cs="Arial"/>
          <w:sz w:val="24"/>
          <w:szCs w:val="24"/>
        </w:rPr>
        <w:t> hodin měsíčně méně než zaměstnanci v platové sféře. Tento rozdíl byl způsoben mimo jiné i skutečností, že v platové sféře je častěji uplatňována osmihodinová pracovní doba, zatímco ve mzdové sféře je v mnoha subjektech pracovní doba zkrácená.</w:t>
      </w:r>
    </w:p>
    <w:p w:rsidR="0040736C" w:rsidRPr="009E1086" w:rsidRDefault="0040736C" w:rsidP="0040736C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9E1086">
        <w:rPr>
          <w:rFonts w:ascii="Arial" w:hAnsi="Arial" w:cs="Arial"/>
          <w:sz w:val="24"/>
          <w:szCs w:val="24"/>
        </w:rPr>
        <w:t xml:space="preserve">Ve sledovaném období odpracovali zaměstnanci mzdové sféry </w:t>
      </w:r>
      <w:r w:rsidRPr="009E1086">
        <w:rPr>
          <w:rFonts w:ascii="Arial" w:hAnsi="Arial" w:cs="Arial"/>
          <w:b/>
          <w:sz w:val="24"/>
          <w:szCs w:val="24"/>
        </w:rPr>
        <w:t>měsíčně 3,2 hodin přesčas</w:t>
      </w:r>
      <w:r w:rsidRPr="009E1086">
        <w:rPr>
          <w:rFonts w:ascii="Arial" w:hAnsi="Arial" w:cs="Arial"/>
          <w:sz w:val="24"/>
          <w:szCs w:val="24"/>
        </w:rPr>
        <w:t xml:space="preserve">. Z hlediska jednotlivých odvětví odpracovali </w:t>
      </w:r>
      <w:r w:rsidRPr="009E1086">
        <w:rPr>
          <w:rFonts w:ascii="Arial" w:hAnsi="Arial" w:cs="Arial"/>
          <w:b/>
          <w:sz w:val="24"/>
          <w:szCs w:val="24"/>
        </w:rPr>
        <w:t>nejvíce hodin přesčas</w:t>
      </w:r>
      <w:r w:rsidRPr="009E1086">
        <w:rPr>
          <w:rFonts w:ascii="Arial" w:hAnsi="Arial" w:cs="Arial"/>
          <w:sz w:val="24"/>
          <w:szCs w:val="24"/>
        </w:rPr>
        <w:t xml:space="preserve"> zaměstnanci v </w:t>
      </w:r>
      <w:r w:rsidRPr="009E1086">
        <w:rPr>
          <w:rFonts w:ascii="Arial" w:hAnsi="Arial" w:cs="Arial"/>
          <w:b/>
          <w:sz w:val="24"/>
          <w:szCs w:val="24"/>
        </w:rPr>
        <w:t>odvětví</w:t>
      </w:r>
      <w:r w:rsidRPr="009E1086">
        <w:rPr>
          <w:rFonts w:ascii="Arial" w:hAnsi="Arial" w:cs="Arial"/>
          <w:sz w:val="24"/>
          <w:szCs w:val="24"/>
        </w:rPr>
        <w:t xml:space="preserve"> </w:t>
      </w:r>
      <w:r w:rsidR="00144023" w:rsidRPr="009E1086">
        <w:rPr>
          <w:rFonts w:ascii="Arial" w:hAnsi="Arial" w:cs="Arial"/>
          <w:b/>
          <w:sz w:val="24"/>
          <w:szCs w:val="24"/>
        </w:rPr>
        <w:t>zemědělství, lesnictví a rybářství</w:t>
      </w:r>
      <w:r w:rsidRPr="009E1086">
        <w:rPr>
          <w:rFonts w:ascii="Arial" w:hAnsi="Arial" w:cs="Arial"/>
          <w:sz w:val="24"/>
          <w:szCs w:val="24"/>
        </w:rPr>
        <w:t xml:space="preserve"> (</w:t>
      </w:r>
      <w:r w:rsidR="00144023" w:rsidRPr="009E1086">
        <w:rPr>
          <w:rFonts w:ascii="Arial" w:hAnsi="Arial" w:cs="Arial"/>
          <w:sz w:val="24"/>
          <w:szCs w:val="24"/>
        </w:rPr>
        <w:t>6,8</w:t>
      </w:r>
      <w:r w:rsidRPr="009E1086">
        <w:rPr>
          <w:rFonts w:ascii="Arial" w:hAnsi="Arial" w:cs="Arial"/>
          <w:sz w:val="24"/>
          <w:szCs w:val="24"/>
        </w:rPr>
        <w:t xml:space="preserve"> hodin měsíčně) </w:t>
      </w:r>
      <w:r w:rsidRPr="009E1086">
        <w:rPr>
          <w:rFonts w:ascii="Arial" w:hAnsi="Arial" w:cs="Arial"/>
          <w:b/>
          <w:sz w:val="24"/>
          <w:szCs w:val="24"/>
        </w:rPr>
        <w:t>a</w:t>
      </w:r>
      <w:r w:rsidRPr="009E1086">
        <w:rPr>
          <w:rFonts w:ascii="Arial" w:hAnsi="Arial" w:cs="Arial"/>
          <w:sz w:val="24"/>
          <w:szCs w:val="24"/>
        </w:rPr>
        <w:t xml:space="preserve"> </w:t>
      </w:r>
      <w:r w:rsidR="00144023" w:rsidRPr="009E1086">
        <w:rPr>
          <w:rFonts w:ascii="Arial" w:hAnsi="Arial" w:cs="Arial"/>
          <w:b/>
          <w:sz w:val="24"/>
          <w:szCs w:val="24"/>
        </w:rPr>
        <w:t>těžby a dobývání</w:t>
      </w:r>
      <w:r w:rsidRPr="009E1086">
        <w:rPr>
          <w:rFonts w:ascii="Arial" w:hAnsi="Arial" w:cs="Arial"/>
          <w:sz w:val="24"/>
          <w:szCs w:val="24"/>
        </w:rPr>
        <w:t xml:space="preserve"> (5,1 hodin měsíčně).</w:t>
      </w:r>
      <w:r w:rsidR="0048540C" w:rsidRPr="009E1086">
        <w:rPr>
          <w:rFonts w:ascii="Arial" w:hAnsi="Arial" w:cs="Arial"/>
          <w:sz w:val="24"/>
          <w:szCs w:val="24"/>
        </w:rPr>
        <w:t xml:space="preserve"> </w:t>
      </w:r>
      <w:r w:rsidR="0048540C" w:rsidRPr="009E1086">
        <w:rPr>
          <w:rFonts w:ascii="Arial" w:hAnsi="Arial" w:cs="Arial"/>
          <w:b/>
          <w:sz w:val="24"/>
          <w:szCs w:val="24"/>
        </w:rPr>
        <w:t>V platové sféře</w:t>
      </w:r>
      <w:r w:rsidR="0048540C" w:rsidRPr="009E1086">
        <w:rPr>
          <w:rFonts w:ascii="Arial" w:hAnsi="Arial" w:cs="Arial"/>
          <w:sz w:val="24"/>
          <w:szCs w:val="24"/>
        </w:rPr>
        <w:t xml:space="preserve"> odpracovali zaměstnanci v 1. pololetí 2012 průměrně </w:t>
      </w:r>
      <w:r w:rsidR="0048540C" w:rsidRPr="009E1086">
        <w:rPr>
          <w:rFonts w:ascii="Arial" w:hAnsi="Arial" w:cs="Arial"/>
          <w:b/>
          <w:sz w:val="24"/>
          <w:szCs w:val="24"/>
        </w:rPr>
        <w:t>1,7 hodiny</w:t>
      </w:r>
      <w:r w:rsidR="0048540C" w:rsidRPr="009E1086">
        <w:rPr>
          <w:rFonts w:ascii="Arial" w:hAnsi="Arial" w:cs="Arial"/>
          <w:sz w:val="24"/>
          <w:szCs w:val="24"/>
        </w:rPr>
        <w:t xml:space="preserve"> přesčas. V rámci početněji zastoupených odvětví odpracovali </w:t>
      </w:r>
      <w:r w:rsidR="0048540C" w:rsidRPr="009E1086">
        <w:rPr>
          <w:rFonts w:ascii="Arial" w:hAnsi="Arial" w:cs="Arial"/>
          <w:b/>
          <w:sz w:val="24"/>
          <w:szCs w:val="24"/>
        </w:rPr>
        <w:t>nejvíce</w:t>
      </w:r>
      <w:r w:rsidR="0048540C" w:rsidRPr="009E1086">
        <w:rPr>
          <w:rFonts w:ascii="Arial" w:hAnsi="Arial" w:cs="Arial"/>
          <w:sz w:val="24"/>
          <w:szCs w:val="24"/>
        </w:rPr>
        <w:t xml:space="preserve"> hodin přesčas zaměstnanci v odvětví </w:t>
      </w:r>
      <w:r w:rsidR="0048540C" w:rsidRPr="009E1086">
        <w:rPr>
          <w:rFonts w:ascii="Arial" w:hAnsi="Arial" w:cs="Arial"/>
          <w:b/>
          <w:sz w:val="24"/>
          <w:szCs w:val="24"/>
        </w:rPr>
        <w:t xml:space="preserve">zdravotní a sociální péče </w:t>
      </w:r>
      <w:r w:rsidR="0048540C" w:rsidRPr="009E1086">
        <w:rPr>
          <w:rFonts w:ascii="Arial" w:hAnsi="Arial" w:cs="Arial"/>
          <w:sz w:val="24"/>
          <w:szCs w:val="24"/>
        </w:rPr>
        <w:t>(4,6 hodin měsíčně).</w:t>
      </w:r>
    </w:p>
    <w:p w:rsidR="00626569" w:rsidRPr="0073188D" w:rsidRDefault="00626569" w:rsidP="00D54B85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CCCC8"/>
        <w:spacing w:before="3000" w:line="240" w:lineRule="auto"/>
        <w:jc w:val="both"/>
        <w:rPr>
          <w:rFonts w:ascii="Arial" w:hAnsi="Arial" w:cs="Arial"/>
        </w:rPr>
      </w:pPr>
      <w:r w:rsidRPr="009E1086">
        <w:rPr>
          <w:rStyle w:val="bbtext"/>
          <w:rFonts w:ascii="Arial" w:hAnsi="Arial" w:cs="Arial"/>
          <w:b/>
        </w:rPr>
        <w:lastRenderedPageBreak/>
        <w:t>Informační systém o průměrném výdělku</w:t>
      </w:r>
      <w:r w:rsidR="000B6A57" w:rsidRPr="009E1086">
        <w:rPr>
          <w:rStyle w:val="bbtext"/>
          <w:rFonts w:ascii="Arial" w:hAnsi="Arial" w:cs="Arial"/>
          <w:b/>
        </w:rPr>
        <w:t xml:space="preserve"> (ISPV)</w:t>
      </w:r>
      <w:r w:rsidRPr="009E1086">
        <w:rPr>
          <w:rStyle w:val="bbtext"/>
          <w:rFonts w:ascii="Arial" w:hAnsi="Arial" w:cs="Arial"/>
        </w:rPr>
        <w:t xml:space="preserve">, spravovaný Ministerstvem práce a sociálních věcí, zjišťuje výdělkovou úroveň v České republice. Údaje za </w:t>
      </w:r>
      <w:r w:rsidR="00566CF8" w:rsidRPr="009E1086">
        <w:rPr>
          <w:rStyle w:val="bbtext"/>
          <w:rFonts w:ascii="Arial" w:hAnsi="Arial" w:cs="Arial"/>
          <w:b/>
        </w:rPr>
        <w:t>mzdovou</w:t>
      </w:r>
      <w:r w:rsidRPr="009E1086">
        <w:rPr>
          <w:rStyle w:val="bbtext"/>
          <w:rFonts w:ascii="Arial" w:hAnsi="Arial" w:cs="Arial"/>
          <w:b/>
        </w:rPr>
        <w:t xml:space="preserve"> sféru</w:t>
      </w:r>
      <w:r w:rsidRPr="009E1086">
        <w:rPr>
          <w:rStyle w:val="bbtext"/>
          <w:rFonts w:ascii="Arial" w:hAnsi="Arial" w:cs="Arial"/>
        </w:rPr>
        <w:t xml:space="preserve"> jsou zjišťovány čtvrtletně. Zdrojem dat pro </w:t>
      </w:r>
      <w:r w:rsidR="00566CF8" w:rsidRPr="009E1086">
        <w:rPr>
          <w:rStyle w:val="bbtext"/>
          <w:rFonts w:ascii="Arial" w:hAnsi="Arial" w:cs="Arial"/>
          <w:b/>
        </w:rPr>
        <w:t>platovou</w:t>
      </w:r>
      <w:r w:rsidRPr="009E1086">
        <w:rPr>
          <w:rStyle w:val="bbtext"/>
          <w:rFonts w:ascii="Arial" w:hAnsi="Arial" w:cs="Arial"/>
          <w:b/>
        </w:rPr>
        <w:t xml:space="preserve"> sféru</w:t>
      </w:r>
      <w:r w:rsidR="00566CF8" w:rsidRPr="009E1086">
        <w:rPr>
          <w:rStyle w:val="bbtext"/>
          <w:rFonts w:ascii="Arial" w:hAnsi="Arial" w:cs="Arial"/>
        </w:rPr>
        <w:t xml:space="preserve"> je Informační systém o platech</w:t>
      </w:r>
      <w:r w:rsidRPr="009E1086">
        <w:rPr>
          <w:rStyle w:val="bbtext"/>
          <w:rFonts w:ascii="Arial" w:hAnsi="Arial" w:cs="Arial"/>
        </w:rPr>
        <w:t xml:space="preserve">. </w:t>
      </w:r>
      <w:r w:rsidRPr="009E1086">
        <w:rPr>
          <w:rStyle w:val="bbtext"/>
          <w:rFonts w:ascii="Arial" w:hAnsi="Arial" w:cs="Arial"/>
          <w:b/>
        </w:rPr>
        <w:t>Medián</w:t>
      </w:r>
      <w:r w:rsidRPr="009E1086">
        <w:rPr>
          <w:rStyle w:val="bbtext"/>
          <w:rFonts w:ascii="Arial" w:hAnsi="Arial" w:cs="Arial"/>
        </w:rPr>
        <w:t xml:space="preserve"> představuje prostřední hodnotu ze všech zjištěných hodnot, tj. jedna polovina hodnot je menších a druhá polovina hodnot je větších než medián. Ve srovnání s průměrem je základní výhodou mediánu skutečnost, že není ovlivněný extrémními hodnotami.</w:t>
      </w:r>
    </w:p>
    <w:sectPr w:rsidR="00626569" w:rsidRPr="0073188D" w:rsidSect="001132C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59B" w:rsidRDefault="00AD759B" w:rsidP="009C5B27">
      <w:pPr>
        <w:spacing w:after="0" w:line="240" w:lineRule="auto"/>
      </w:pPr>
      <w:r>
        <w:separator/>
      </w:r>
    </w:p>
  </w:endnote>
  <w:endnote w:type="continuationSeparator" w:id="0">
    <w:p w:rsidR="00AD759B" w:rsidRDefault="00AD759B" w:rsidP="009C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910" w:rsidRPr="00CC4B1B" w:rsidRDefault="00455187">
    <w:pPr>
      <w:pStyle w:val="Zpat"/>
      <w:jc w:val="center"/>
      <w:rPr>
        <w:rFonts w:ascii="Arial" w:hAnsi="Arial" w:cs="Arial"/>
      </w:rPr>
    </w:pPr>
    <w:r w:rsidRPr="00CC4B1B">
      <w:rPr>
        <w:rFonts w:ascii="Arial" w:hAnsi="Arial" w:cs="Arial"/>
      </w:rPr>
      <w:fldChar w:fldCharType="begin"/>
    </w:r>
    <w:r w:rsidR="00690910" w:rsidRPr="00CC4B1B">
      <w:rPr>
        <w:rFonts w:ascii="Arial" w:hAnsi="Arial" w:cs="Arial"/>
      </w:rPr>
      <w:instrText>PAGE   \* MERGEFORMAT</w:instrText>
    </w:r>
    <w:r w:rsidRPr="00CC4B1B">
      <w:rPr>
        <w:rFonts w:ascii="Arial" w:hAnsi="Arial" w:cs="Arial"/>
      </w:rPr>
      <w:fldChar w:fldCharType="separate"/>
    </w:r>
    <w:r w:rsidR="00E34576">
      <w:rPr>
        <w:rFonts w:ascii="Arial" w:hAnsi="Arial" w:cs="Arial"/>
        <w:noProof/>
      </w:rPr>
      <w:t>1</w:t>
    </w:r>
    <w:r w:rsidRPr="00CC4B1B">
      <w:rPr>
        <w:rFonts w:ascii="Arial" w:hAnsi="Arial" w:cs="Arial"/>
      </w:rPr>
      <w:fldChar w:fldCharType="end"/>
    </w:r>
  </w:p>
  <w:p w:rsidR="00690910" w:rsidRDefault="0069091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59B" w:rsidRDefault="00AD759B" w:rsidP="009C5B27">
      <w:pPr>
        <w:spacing w:after="0" w:line="240" w:lineRule="auto"/>
      </w:pPr>
      <w:r>
        <w:separator/>
      </w:r>
    </w:p>
  </w:footnote>
  <w:footnote w:type="continuationSeparator" w:id="0">
    <w:p w:rsidR="00AD759B" w:rsidRDefault="00AD759B" w:rsidP="009C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D4007"/>
    <w:multiLevelType w:val="hybridMultilevel"/>
    <w:tmpl w:val="1E0C1F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0C242F"/>
    <w:multiLevelType w:val="hybridMultilevel"/>
    <w:tmpl w:val="AA5AEFF8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>
    <w:nsid w:val="720B55B3"/>
    <w:multiLevelType w:val="hybridMultilevel"/>
    <w:tmpl w:val="EBE69A52"/>
    <w:lvl w:ilvl="0" w:tplc="0405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BE"/>
    <w:rsid w:val="000012A1"/>
    <w:rsid w:val="0000135E"/>
    <w:rsid w:val="000058F4"/>
    <w:rsid w:val="00006007"/>
    <w:rsid w:val="00013CCE"/>
    <w:rsid w:val="00017986"/>
    <w:rsid w:val="00017C62"/>
    <w:rsid w:val="00021970"/>
    <w:rsid w:val="00023D5A"/>
    <w:rsid w:val="00033750"/>
    <w:rsid w:val="0003507D"/>
    <w:rsid w:val="000421EF"/>
    <w:rsid w:val="00043F44"/>
    <w:rsid w:val="0006492D"/>
    <w:rsid w:val="00084C1E"/>
    <w:rsid w:val="00093BD3"/>
    <w:rsid w:val="00094D41"/>
    <w:rsid w:val="000A36E4"/>
    <w:rsid w:val="000A3BC1"/>
    <w:rsid w:val="000A43F9"/>
    <w:rsid w:val="000B20DF"/>
    <w:rsid w:val="000B2234"/>
    <w:rsid w:val="000B6A57"/>
    <w:rsid w:val="000C45BF"/>
    <w:rsid w:val="000C517E"/>
    <w:rsid w:val="000D3CF3"/>
    <w:rsid w:val="000E2011"/>
    <w:rsid w:val="000E46FD"/>
    <w:rsid w:val="000E7881"/>
    <w:rsid w:val="000F3F6A"/>
    <w:rsid w:val="000F5103"/>
    <w:rsid w:val="000F56F4"/>
    <w:rsid w:val="001000CA"/>
    <w:rsid w:val="00100C53"/>
    <w:rsid w:val="00107E1A"/>
    <w:rsid w:val="00110A52"/>
    <w:rsid w:val="00110EA1"/>
    <w:rsid w:val="001132CA"/>
    <w:rsid w:val="00120A99"/>
    <w:rsid w:val="0012145B"/>
    <w:rsid w:val="0012388F"/>
    <w:rsid w:val="00123CDB"/>
    <w:rsid w:val="001250EC"/>
    <w:rsid w:val="00125A0B"/>
    <w:rsid w:val="001369FB"/>
    <w:rsid w:val="00144023"/>
    <w:rsid w:val="00147C9B"/>
    <w:rsid w:val="0015416E"/>
    <w:rsid w:val="00154629"/>
    <w:rsid w:val="0015711F"/>
    <w:rsid w:val="00163E82"/>
    <w:rsid w:val="0016676B"/>
    <w:rsid w:val="00166802"/>
    <w:rsid w:val="00167658"/>
    <w:rsid w:val="00167C58"/>
    <w:rsid w:val="0017217F"/>
    <w:rsid w:val="00174157"/>
    <w:rsid w:val="0017496D"/>
    <w:rsid w:val="00182839"/>
    <w:rsid w:val="00182897"/>
    <w:rsid w:val="0018598F"/>
    <w:rsid w:val="001909EE"/>
    <w:rsid w:val="00191E25"/>
    <w:rsid w:val="00195F52"/>
    <w:rsid w:val="001A3542"/>
    <w:rsid w:val="001A5D82"/>
    <w:rsid w:val="001A68A7"/>
    <w:rsid w:val="001C438C"/>
    <w:rsid w:val="001F09AB"/>
    <w:rsid w:val="001F229D"/>
    <w:rsid w:val="00201739"/>
    <w:rsid w:val="00206C3E"/>
    <w:rsid w:val="00207DF5"/>
    <w:rsid w:val="002202A3"/>
    <w:rsid w:val="00220E25"/>
    <w:rsid w:val="00224535"/>
    <w:rsid w:val="0022572E"/>
    <w:rsid w:val="00227CEB"/>
    <w:rsid w:val="00230DBA"/>
    <w:rsid w:val="00233D82"/>
    <w:rsid w:val="00233FAD"/>
    <w:rsid w:val="00235A34"/>
    <w:rsid w:val="002461DD"/>
    <w:rsid w:val="002470DB"/>
    <w:rsid w:val="00265C54"/>
    <w:rsid w:val="00266C4F"/>
    <w:rsid w:val="00273D9B"/>
    <w:rsid w:val="00281499"/>
    <w:rsid w:val="00286A0E"/>
    <w:rsid w:val="00296032"/>
    <w:rsid w:val="00297E96"/>
    <w:rsid w:val="002A3764"/>
    <w:rsid w:val="002A6E05"/>
    <w:rsid w:val="002B6735"/>
    <w:rsid w:val="002B69AA"/>
    <w:rsid w:val="002E68B8"/>
    <w:rsid w:val="002F5465"/>
    <w:rsid w:val="00307F73"/>
    <w:rsid w:val="00311D9C"/>
    <w:rsid w:val="00312684"/>
    <w:rsid w:val="00317B2F"/>
    <w:rsid w:val="0032771C"/>
    <w:rsid w:val="00327C32"/>
    <w:rsid w:val="003442C0"/>
    <w:rsid w:val="00345F51"/>
    <w:rsid w:val="00346AF6"/>
    <w:rsid w:val="00360944"/>
    <w:rsid w:val="0036191F"/>
    <w:rsid w:val="00363776"/>
    <w:rsid w:val="003658A9"/>
    <w:rsid w:val="00365E4C"/>
    <w:rsid w:val="00371179"/>
    <w:rsid w:val="00372422"/>
    <w:rsid w:val="00390A06"/>
    <w:rsid w:val="003A2A7A"/>
    <w:rsid w:val="003A30AA"/>
    <w:rsid w:val="003A78C1"/>
    <w:rsid w:val="003B07F7"/>
    <w:rsid w:val="003B3CD1"/>
    <w:rsid w:val="003B3DAB"/>
    <w:rsid w:val="003B4D1A"/>
    <w:rsid w:val="003B5637"/>
    <w:rsid w:val="003C281A"/>
    <w:rsid w:val="003C370F"/>
    <w:rsid w:val="003C5137"/>
    <w:rsid w:val="003C5D62"/>
    <w:rsid w:val="003D7A59"/>
    <w:rsid w:val="003E1616"/>
    <w:rsid w:val="003F147E"/>
    <w:rsid w:val="003F7118"/>
    <w:rsid w:val="003F7887"/>
    <w:rsid w:val="003F7A55"/>
    <w:rsid w:val="0040736C"/>
    <w:rsid w:val="00417853"/>
    <w:rsid w:val="0042270B"/>
    <w:rsid w:val="0042277D"/>
    <w:rsid w:val="0042467B"/>
    <w:rsid w:val="004265A7"/>
    <w:rsid w:val="00431A44"/>
    <w:rsid w:val="004364B5"/>
    <w:rsid w:val="004550B2"/>
    <w:rsid w:val="00455187"/>
    <w:rsid w:val="00456C2C"/>
    <w:rsid w:val="00463C11"/>
    <w:rsid w:val="00465B61"/>
    <w:rsid w:val="00467CBF"/>
    <w:rsid w:val="00467E32"/>
    <w:rsid w:val="0048033C"/>
    <w:rsid w:val="00481B42"/>
    <w:rsid w:val="0048540C"/>
    <w:rsid w:val="004A27D5"/>
    <w:rsid w:val="004A3401"/>
    <w:rsid w:val="004A36B4"/>
    <w:rsid w:val="004A4CCC"/>
    <w:rsid w:val="004B1BA9"/>
    <w:rsid w:val="004B32B8"/>
    <w:rsid w:val="004D0D8E"/>
    <w:rsid w:val="004D417E"/>
    <w:rsid w:val="004E2608"/>
    <w:rsid w:val="004E5B38"/>
    <w:rsid w:val="004F2ADD"/>
    <w:rsid w:val="00500B91"/>
    <w:rsid w:val="00503383"/>
    <w:rsid w:val="00506C08"/>
    <w:rsid w:val="00507AEB"/>
    <w:rsid w:val="00511B11"/>
    <w:rsid w:val="00513392"/>
    <w:rsid w:val="00513B31"/>
    <w:rsid w:val="0051541D"/>
    <w:rsid w:val="00521277"/>
    <w:rsid w:val="00525DE1"/>
    <w:rsid w:val="00533140"/>
    <w:rsid w:val="005402C8"/>
    <w:rsid w:val="00541796"/>
    <w:rsid w:val="00551C59"/>
    <w:rsid w:val="0055566C"/>
    <w:rsid w:val="00556DA7"/>
    <w:rsid w:val="00563D9C"/>
    <w:rsid w:val="005646AC"/>
    <w:rsid w:val="00564CAC"/>
    <w:rsid w:val="00565389"/>
    <w:rsid w:val="00566CF8"/>
    <w:rsid w:val="00580868"/>
    <w:rsid w:val="005820D6"/>
    <w:rsid w:val="005821E8"/>
    <w:rsid w:val="0059262E"/>
    <w:rsid w:val="005A12F4"/>
    <w:rsid w:val="005A5418"/>
    <w:rsid w:val="005A6FA0"/>
    <w:rsid w:val="005B3A6D"/>
    <w:rsid w:val="005B5807"/>
    <w:rsid w:val="005C662F"/>
    <w:rsid w:val="005C7230"/>
    <w:rsid w:val="005D3D46"/>
    <w:rsid w:val="005E6D59"/>
    <w:rsid w:val="005F115E"/>
    <w:rsid w:val="005F385E"/>
    <w:rsid w:val="005F7813"/>
    <w:rsid w:val="00604F20"/>
    <w:rsid w:val="00606B21"/>
    <w:rsid w:val="00613C05"/>
    <w:rsid w:val="00617F53"/>
    <w:rsid w:val="00620A8B"/>
    <w:rsid w:val="006243E9"/>
    <w:rsid w:val="00624B81"/>
    <w:rsid w:val="00626569"/>
    <w:rsid w:val="00633C76"/>
    <w:rsid w:val="00640031"/>
    <w:rsid w:val="00640A9C"/>
    <w:rsid w:val="00640BA2"/>
    <w:rsid w:val="0064289C"/>
    <w:rsid w:val="0064435E"/>
    <w:rsid w:val="00645ED6"/>
    <w:rsid w:val="00646D9E"/>
    <w:rsid w:val="00654703"/>
    <w:rsid w:val="00655DEE"/>
    <w:rsid w:val="006607E2"/>
    <w:rsid w:val="00661AD8"/>
    <w:rsid w:val="00662EE7"/>
    <w:rsid w:val="00664159"/>
    <w:rsid w:val="0067447A"/>
    <w:rsid w:val="00677BE2"/>
    <w:rsid w:val="00690910"/>
    <w:rsid w:val="006B3717"/>
    <w:rsid w:val="006C2661"/>
    <w:rsid w:val="006C2CBD"/>
    <w:rsid w:val="006C392D"/>
    <w:rsid w:val="006C6201"/>
    <w:rsid w:val="006D0902"/>
    <w:rsid w:val="006D0C32"/>
    <w:rsid w:val="006D259F"/>
    <w:rsid w:val="006D6F4B"/>
    <w:rsid w:val="006F12D3"/>
    <w:rsid w:val="006F52D1"/>
    <w:rsid w:val="006F53E2"/>
    <w:rsid w:val="006F7231"/>
    <w:rsid w:val="00700D37"/>
    <w:rsid w:val="00706049"/>
    <w:rsid w:val="00710071"/>
    <w:rsid w:val="00710C56"/>
    <w:rsid w:val="00715B30"/>
    <w:rsid w:val="007242F8"/>
    <w:rsid w:val="00725F16"/>
    <w:rsid w:val="00727E42"/>
    <w:rsid w:val="0073188D"/>
    <w:rsid w:val="00734F81"/>
    <w:rsid w:val="00736C71"/>
    <w:rsid w:val="00736F2D"/>
    <w:rsid w:val="007379A5"/>
    <w:rsid w:val="00743E1E"/>
    <w:rsid w:val="00751080"/>
    <w:rsid w:val="0075128B"/>
    <w:rsid w:val="0075609D"/>
    <w:rsid w:val="00760955"/>
    <w:rsid w:val="00766B4E"/>
    <w:rsid w:val="0077646D"/>
    <w:rsid w:val="00777503"/>
    <w:rsid w:val="00787B79"/>
    <w:rsid w:val="0079202F"/>
    <w:rsid w:val="00792A56"/>
    <w:rsid w:val="00792C7C"/>
    <w:rsid w:val="00793DC2"/>
    <w:rsid w:val="00793F02"/>
    <w:rsid w:val="00794C49"/>
    <w:rsid w:val="00794CFC"/>
    <w:rsid w:val="0079563E"/>
    <w:rsid w:val="00797097"/>
    <w:rsid w:val="007A1C0F"/>
    <w:rsid w:val="007A34E0"/>
    <w:rsid w:val="007A3B34"/>
    <w:rsid w:val="007A4BFC"/>
    <w:rsid w:val="007A7762"/>
    <w:rsid w:val="007B3813"/>
    <w:rsid w:val="007B3BD6"/>
    <w:rsid w:val="007B3FB0"/>
    <w:rsid w:val="007B6A60"/>
    <w:rsid w:val="007C2B75"/>
    <w:rsid w:val="007C4970"/>
    <w:rsid w:val="007C5510"/>
    <w:rsid w:val="007C7A38"/>
    <w:rsid w:val="007D509D"/>
    <w:rsid w:val="007E0510"/>
    <w:rsid w:val="007E11C7"/>
    <w:rsid w:val="007E273A"/>
    <w:rsid w:val="007E351A"/>
    <w:rsid w:val="007E5129"/>
    <w:rsid w:val="007E5C5F"/>
    <w:rsid w:val="007E6002"/>
    <w:rsid w:val="007E6C5B"/>
    <w:rsid w:val="007E6D0C"/>
    <w:rsid w:val="007E7437"/>
    <w:rsid w:val="007F0BB7"/>
    <w:rsid w:val="008063F5"/>
    <w:rsid w:val="0081111C"/>
    <w:rsid w:val="008152EA"/>
    <w:rsid w:val="00816ACF"/>
    <w:rsid w:val="00822B77"/>
    <w:rsid w:val="008343F5"/>
    <w:rsid w:val="00840CF3"/>
    <w:rsid w:val="00845D64"/>
    <w:rsid w:val="00866473"/>
    <w:rsid w:val="00873815"/>
    <w:rsid w:val="00873E04"/>
    <w:rsid w:val="00875FCB"/>
    <w:rsid w:val="0088087B"/>
    <w:rsid w:val="008823B9"/>
    <w:rsid w:val="008A05AC"/>
    <w:rsid w:val="008A4C6C"/>
    <w:rsid w:val="008B5DB8"/>
    <w:rsid w:val="008C3614"/>
    <w:rsid w:val="008C3DBE"/>
    <w:rsid w:val="008C629D"/>
    <w:rsid w:val="008D4098"/>
    <w:rsid w:val="008D48AC"/>
    <w:rsid w:val="008D61A3"/>
    <w:rsid w:val="008D77C8"/>
    <w:rsid w:val="008E36EC"/>
    <w:rsid w:val="008E5965"/>
    <w:rsid w:val="00900CFF"/>
    <w:rsid w:val="00901823"/>
    <w:rsid w:val="009053D2"/>
    <w:rsid w:val="00916732"/>
    <w:rsid w:val="00916A5B"/>
    <w:rsid w:val="00922050"/>
    <w:rsid w:val="00926DA5"/>
    <w:rsid w:val="00932BCD"/>
    <w:rsid w:val="00934C5D"/>
    <w:rsid w:val="0094547F"/>
    <w:rsid w:val="009566A7"/>
    <w:rsid w:val="00956845"/>
    <w:rsid w:val="00961DD3"/>
    <w:rsid w:val="00973D01"/>
    <w:rsid w:val="00973DFF"/>
    <w:rsid w:val="00973ECC"/>
    <w:rsid w:val="009921E6"/>
    <w:rsid w:val="0099498B"/>
    <w:rsid w:val="009B3392"/>
    <w:rsid w:val="009C0495"/>
    <w:rsid w:val="009C43BE"/>
    <w:rsid w:val="009C5B27"/>
    <w:rsid w:val="009E1086"/>
    <w:rsid w:val="009E1DB6"/>
    <w:rsid w:val="009F19CC"/>
    <w:rsid w:val="00A000A4"/>
    <w:rsid w:val="00A100C8"/>
    <w:rsid w:val="00A10B85"/>
    <w:rsid w:val="00A11C46"/>
    <w:rsid w:val="00A16EE6"/>
    <w:rsid w:val="00A1779F"/>
    <w:rsid w:val="00A235A2"/>
    <w:rsid w:val="00A24180"/>
    <w:rsid w:val="00A46196"/>
    <w:rsid w:val="00A46A3F"/>
    <w:rsid w:val="00A47E31"/>
    <w:rsid w:val="00A52F3E"/>
    <w:rsid w:val="00A53C5B"/>
    <w:rsid w:val="00A57E62"/>
    <w:rsid w:val="00A7476F"/>
    <w:rsid w:val="00A75045"/>
    <w:rsid w:val="00A80FDC"/>
    <w:rsid w:val="00A83140"/>
    <w:rsid w:val="00A83DD4"/>
    <w:rsid w:val="00A9731E"/>
    <w:rsid w:val="00AA1559"/>
    <w:rsid w:val="00AB0517"/>
    <w:rsid w:val="00AB3E60"/>
    <w:rsid w:val="00AB4E96"/>
    <w:rsid w:val="00AB5F62"/>
    <w:rsid w:val="00AD759B"/>
    <w:rsid w:val="00AE068C"/>
    <w:rsid w:val="00AE38E0"/>
    <w:rsid w:val="00AE5112"/>
    <w:rsid w:val="00AF2B29"/>
    <w:rsid w:val="00B04481"/>
    <w:rsid w:val="00B0536F"/>
    <w:rsid w:val="00B063DA"/>
    <w:rsid w:val="00B0642A"/>
    <w:rsid w:val="00B13229"/>
    <w:rsid w:val="00B303EB"/>
    <w:rsid w:val="00B323A8"/>
    <w:rsid w:val="00B44314"/>
    <w:rsid w:val="00B465E0"/>
    <w:rsid w:val="00B50428"/>
    <w:rsid w:val="00B523B1"/>
    <w:rsid w:val="00B70D7E"/>
    <w:rsid w:val="00B73099"/>
    <w:rsid w:val="00B7501C"/>
    <w:rsid w:val="00B752C8"/>
    <w:rsid w:val="00B90669"/>
    <w:rsid w:val="00BA3847"/>
    <w:rsid w:val="00BA5CA9"/>
    <w:rsid w:val="00BB0161"/>
    <w:rsid w:val="00BC3909"/>
    <w:rsid w:val="00BC5A0F"/>
    <w:rsid w:val="00BD02D2"/>
    <w:rsid w:val="00BE2F9E"/>
    <w:rsid w:val="00BE37BE"/>
    <w:rsid w:val="00BE5115"/>
    <w:rsid w:val="00BF216F"/>
    <w:rsid w:val="00BF3317"/>
    <w:rsid w:val="00C0410B"/>
    <w:rsid w:val="00C05EE3"/>
    <w:rsid w:val="00C05F05"/>
    <w:rsid w:val="00C114FD"/>
    <w:rsid w:val="00C117EB"/>
    <w:rsid w:val="00C14003"/>
    <w:rsid w:val="00C14B74"/>
    <w:rsid w:val="00C24B1D"/>
    <w:rsid w:val="00C52AE2"/>
    <w:rsid w:val="00C53320"/>
    <w:rsid w:val="00C5546C"/>
    <w:rsid w:val="00C75680"/>
    <w:rsid w:val="00C863E7"/>
    <w:rsid w:val="00C92800"/>
    <w:rsid w:val="00C94FCE"/>
    <w:rsid w:val="00C96787"/>
    <w:rsid w:val="00CB3FF8"/>
    <w:rsid w:val="00CB53A7"/>
    <w:rsid w:val="00CC4B1B"/>
    <w:rsid w:val="00CC55F0"/>
    <w:rsid w:val="00CC76DB"/>
    <w:rsid w:val="00CD3CE6"/>
    <w:rsid w:val="00CD5880"/>
    <w:rsid w:val="00CE0E26"/>
    <w:rsid w:val="00CE7635"/>
    <w:rsid w:val="00CF2B5A"/>
    <w:rsid w:val="00CF6B0D"/>
    <w:rsid w:val="00CF7A4F"/>
    <w:rsid w:val="00D05043"/>
    <w:rsid w:val="00D12059"/>
    <w:rsid w:val="00D17B2A"/>
    <w:rsid w:val="00D2188E"/>
    <w:rsid w:val="00D21AA3"/>
    <w:rsid w:val="00D22980"/>
    <w:rsid w:val="00D260FA"/>
    <w:rsid w:val="00D33048"/>
    <w:rsid w:val="00D4487C"/>
    <w:rsid w:val="00D54B85"/>
    <w:rsid w:val="00D55337"/>
    <w:rsid w:val="00D566D4"/>
    <w:rsid w:val="00D574BA"/>
    <w:rsid w:val="00D6668D"/>
    <w:rsid w:val="00D669FC"/>
    <w:rsid w:val="00D678B3"/>
    <w:rsid w:val="00D704B3"/>
    <w:rsid w:val="00D7095A"/>
    <w:rsid w:val="00D70F64"/>
    <w:rsid w:val="00D710A2"/>
    <w:rsid w:val="00D721BE"/>
    <w:rsid w:val="00D7325B"/>
    <w:rsid w:val="00D80665"/>
    <w:rsid w:val="00D82646"/>
    <w:rsid w:val="00D8659E"/>
    <w:rsid w:val="00D92BAD"/>
    <w:rsid w:val="00DB133E"/>
    <w:rsid w:val="00DB4605"/>
    <w:rsid w:val="00DC60D0"/>
    <w:rsid w:val="00DD03DD"/>
    <w:rsid w:val="00DE4815"/>
    <w:rsid w:val="00DE78B7"/>
    <w:rsid w:val="00DF34AD"/>
    <w:rsid w:val="00DF5A1E"/>
    <w:rsid w:val="00DF7403"/>
    <w:rsid w:val="00E05063"/>
    <w:rsid w:val="00E17804"/>
    <w:rsid w:val="00E24861"/>
    <w:rsid w:val="00E266A3"/>
    <w:rsid w:val="00E34576"/>
    <w:rsid w:val="00E35495"/>
    <w:rsid w:val="00E40486"/>
    <w:rsid w:val="00E428C0"/>
    <w:rsid w:val="00E47D11"/>
    <w:rsid w:val="00E54900"/>
    <w:rsid w:val="00E55AAF"/>
    <w:rsid w:val="00E601B8"/>
    <w:rsid w:val="00E71D6F"/>
    <w:rsid w:val="00E74BCE"/>
    <w:rsid w:val="00E81F49"/>
    <w:rsid w:val="00E83A3E"/>
    <w:rsid w:val="00E90D57"/>
    <w:rsid w:val="00E91DB3"/>
    <w:rsid w:val="00E95BFF"/>
    <w:rsid w:val="00E9680C"/>
    <w:rsid w:val="00E973EE"/>
    <w:rsid w:val="00EA4788"/>
    <w:rsid w:val="00EB54D5"/>
    <w:rsid w:val="00EB7240"/>
    <w:rsid w:val="00EC2E07"/>
    <w:rsid w:val="00ED079A"/>
    <w:rsid w:val="00ED0CC6"/>
    <w:rsid w:val="00ED3021"/>
    <w:rsid w:val="00ED6ABC"/>
    <w:rsid w:val="00EE4ABC"/>
    <w:rsid w:val="00EE57E8"/>
    <w:rsid w:val="00EF009F"/>
    <w:rsid w:val="00EF1411"/>
    <w:rsid w:val="00F00F02"/>
    <w:rsid w:val="00F03C92"/>
    <w:rsid w:val="00F03FC9"/>
    <w:rsid w:val="00F05FD7"/>
    <w:rsid w:val="00F10D46"/>
    <w:rsid w:val="00F14FAA"/>
    <w:rsid w:val="00F404C3"/>
    <w:rsid w:val="00F50EB4"/>
    <w:rsid w:val="00F52235"/>
    <w:rsid w:val="00F53161"/>
    <w:rsid w:val="00F5697C"/>
    <w:rsid w:val="00F57850"/>
    <w:rsid w:val="00F616B2"/>
    <w:rsid w:val="00F744EB"/>
    <w:rsid w:val="00F75DA7"/>
    <w:rsid w:val="00F85850"/>
    <w:rsid w:val="00F86D70"/>
    <w:rsid w:val="00F87437"/>
    <w:rsid w:val="00F87C8E"/>
    <w:rsid w:val="00F900EB"/>
    <w:rsid w:val="00F93AB9"/>
    <w:rsid w:val="00FA03D8"/>
    <w:rsid w:val="00FA7F9C"/>
    <w:rsid w:val="00FB3696"/>
    <w:rsid w:val="00FE392A"/>
    <w:rsid w:val="00FE3AD8"/>
    <w:rsid w:val="00FF2760"/>
    <w:rsid w:val="00F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B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btext">
    <w:name w:val="bbtext"/>
    <w:basedOn w:val="Standardnpsmoodstavce"/>
    <w:rsid w:val="007F0BB7"/>
  </w:style>
  <w:style w:type="paragraph" w:styleId="Odstavecseseznamem">
    <w:name w:val="List Paragraph"/>
    <w:basedOn w:val="Normln"/>
    <w:uiPriority w:val="34"/>
    <w:qFormat/>
    <w:rsid w:val="008C3DB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B5DB8"/>
    <w:pPr>
      <w:spacing w:line="240" w:lineRule="auto"/>
    </w:pPr>
    <w:rPr>
      <w:rFonts w:ascii="Arial" w:hAnsi="Arial"/>
      <w:bCs/>
      <w:i/>
      <w:sz w:val="20"/>
      <w:szCs w:val="18"/>
    </w:rPr>
  </w:style>
  <w:style w:type="table" w:styleId="Mkatabulky">
    <w:name w:val="Table Grid"/>
    <w:basedOn w:val="Normlntabulka"/>
    <w:uiPriority w:val="59"/>
    <w:rsid w:val="0026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0A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5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B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B2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27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5B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5B2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5B2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C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1B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3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A3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BB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btext">
    <w:name w:val="bbtext"/>
    <w:basedOn w:val="Standardnpsmoodstavce"/>
    <w:rsid w:val="007F0BB7"/>
  </w:style>
  <w:style w:type="paragraph" w:styleId="Odstavecseseznamem">
    <w:name w:val="List Paragraph"/>
    <w:basedOn w:val="Normln"/>
    <w:uiPriority w:val="34"/>
    <w:qFormat/>
    <w:rsid w:val="008C3DBE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8B5DB8"/>
    <w:pPr>
      <w:spacing w:line="240" w:lineRule="auto"/>
    </w:pPr>
    <w:rPr>
      <w:rFonts w:ascii="Arial" w:hAnsi="Arial"/>
      <w:bCs/>
      <w:i/>
      <w:sz w:val="20"/>
      <w:szCs w:val="18"/>
    </w:rPr>
  </w:style>
  <w:style w:type="table" w:styleId="Mkatabulky">
    <w:name w:val="Table Grid"/>
    <w:basedOn w:val="Normlntabulka"/>
    <w:uiPriority w:val="59"/>
    <w:rsid w:val="00266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A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0AA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5B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5B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5B27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5B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5B27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5B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5B2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5B2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C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B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C4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B1B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3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A3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spv.cz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pv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pv.cz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SERVER-TRX\UserData\&#218;tvary\U20\A_Spole&#269;n&#233;\Komise\120919\Podklady\Koment&#225;&#345;\Koment&#225;&#345;_2Q201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-TRX\UserData\&#218;tvary\U20\A_Spole&#269;n&#233;\Komise\120919\Podklady\Koment&#225;&#345;\Koment&#225;&#345;_2Q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style val="25"/>
  <c:chart>
    <c:plotArea>
      <c:layout>
        <c:manualLayout>
          <c:layoutTarget val="inner"/>
          <c:xMode val="edge"/>
          <c:yMode val="edge"/>
          <c:x val="7.2032971438651686E-2"/>
          <c:y val="8.7865477658666216E-2"/>
          <c:w val="0.58780099534401364"/>
          <c:h val="0.86930809853587621"/>
        </c:manualLayout>
      </c:layout>
      <c:doughnutChart>
        <c:varyColors val="1"/>
        <c:ser>
          <c:idx val="0"/>
          <c:order val="0"/>
          <c:tx>
            <c:strRef>
              <c:f>Graf_1!$B$5</c:f>
              <c:strCache>
                <c:ptCount val="1"/>
                <c:pt idx="0">
                  <c:v>Mzdová sféra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Pt>
            <c:idx val="1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4"/>
            <c:spPr>
              <a:solidFill>
                <a:schemeClr val="bg1"/>
              </a:solidFill>
            </c:spPr>
          </c:dPt>
          <c:dLbls>
            <c:dLbl>
              <c:idx val="0"/>
              <c:layout>
                <c:manualLayout>
                  <c:x val="2.3461466502023302E-2"/>
                  <c:y val="6.92533915188313E-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3.980734587402647E-3"/>
                  <c:y val="-9.6792840653954437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2.8830978612398514E-2"/>
                  <c:y val="-7.0534104923631567E-3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2.3733876442634094E-2"/>
                  <c:y val="1.456376687853774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6.3195257415633683E-3"/>
                  <c:y val="-3.971413211902729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Graf_1!$C$4:$G$4</c:f>
              <c:strCache>
                <c:ptCount val="5"/>
                <c:pt idx="0">
                  <c:v>Základní</c:v>
                </c:pt>
                <c:pt idx="1">
                  <c:v>Střední bez maturity</c:v>
                </c:pt>
                <c:pt idx="2">
                  <c:v>Střední s maturitou</c:v>
                </c:pt>
                <c:pt idx="3">
                  <c:v>Vysokoškolské</c:v>
                </c:pt>
                <c:pt idx="4">
                  <c:v>Neuvedeno</c:v>
                </c:pt>
              </c:strCache>
            </c:strRef>
          </c:cat>
          <c:val>
            <c:numRef>
              <c:f>Graf_1!$C$5:$G$5</c:f>
              <c:numCache>
                <c:formatCode>General</c:formatCode>
                <c:ptCount val="5"/>
                <c:pt idx="0" formatCode="#,##0.0">
                  <c:v>200.60329999999999</c:v>
                </c:pt>
                <c:pt idx="1">
                  <c:v>1152.6040999999998</c:v>
                </c:pt>
                <c:pt idx="2" formatCode="#,##0.0">
                  <c:v>1081.4761000000001</c:v>
                </c:pt>
                <c:pt idx="3" formatCode="#,##0.0">
                  <c:v>376.48039999999975</c:v>
                </c:pt>
                <c:pt idx="4" formatCode="#,##0.0">
                  <c:v>65.168899999999979</c:v>
                </c:pt>
              </c:numCache>
            </c:numRef>
          </c:val>
        </c:ser>
        <c:ser>
          <c:idx val="1"/>
          <c:order val="1"/>
          <c:tx>
            <c:strRef>
              <c:f>Graf_1!$B$6</c:f>
              <c:strCache>
                <c:ptCount val="1"/>
              </c:strCache>
            </c:strRef>
          </c:tx>
          <c:dLbls>
            <c:delete val="1"/>
          </c:dLbls>
          <c:cat>
            <c:strRef>
              <c:f>Graf_1!$C$4:$G$4</c:f>
              <c:strCache>
                <c:ptCount val="5"/>
                <c:pt idx="0">
                  <c:v>Základní</c:v>
                </c:pt>
                <c:pt idx="1">
                  <c:v>Střední bez maturity</c:v>
                </c:pt>
                <c:pt idx="2">
                  <c:v>Střední s maturitou</c:v>
                </c:pt>
                <c:pt idx="3">
                  <c:v>Vysokoškolské</c:v>
                </c:pt>
                <c:pt idx="4">
                  <c:v>Neuvedeno</c:v>
                </c:pt>
              </c:strCache>
            </c:strRef>
          </c:cat>
          <c:val>
            <c:numRef>
              <c:f>Graf_1!$C$6:$F$6</c:f>
              <c:numCache>
                <c:formatCode>#,##0.0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Graf_1!$B$7</c:f>
              <c:strCache>
                <c:ptCount val="1"/>
                <c:pt idx="0">
                  <c:v>Platová sféra</c:v>
                </c:pt>
              </c:strCache>
            </c:strRef>
          </c:tx>
          <c:dPt>
            <c:idx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2"/>
            <c:spPr>
              <a:solidFill>
                <a:schemeClr val="tx1">
                  <a:lumMod val="65000"/>
                  <a:lumOff val="35000"/>
                </a:schemeClr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1.1328319194316603E-2"/>
                  <c:y val="-2.8409701799323294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2.4655237850869469E-2"/>
                  <c:y val="-6.6467444581475525E-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9357976383298323"/>
                  <c:y val="-9.3140119533251145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6.654350487248159E-2"/>
                  <c:y val="0.19812320146728649"/>
                </c:manualLayout>
              </c:layout>
              <c:showCatName val="1"/>
              <c:showPercent val="1"/>
            </c:dLbl>
            <c:dLbl>
              <c:idx val="4"/>
              <c:delete val="1"/>
            </c:dLbl>
            <c:showCatName val="1"/>
            <c:showPercent val="1"/>
            <c:showLeaderLines val="1"/>
          </c:dLbls>
          <c:cat>
            <c:strRef>
              <c:f>Graf_1!$C$4:$G$4</c:f>
              <c:strCache>
                <c:ptCount val="5"/>
                <c:pt idx="0">
                  <c:v>Základní</c:v>
                </c:pt>
                <c:pt idx="1">
                  <c:v>Střední bez maturity</c:v>
                </c:pt>
                <c:pt idx="2">
                  <c:v>Střední s maturitou</c:v>
                </c:pt>
                <c:pt idx="3">
                  <c:v>Vysokoškolské</c:v>
                </c:pt>
                <c:pt idx="4">
                  <c:v>Neuvedeno</c:v>
                </c:pt>
              </c:strCache>
            </c:strRef>
          </c:cat>
          <c:val>
            <c:numRef>
              <c:f>Graf_1!$C$7:$G$7</c:f>
              <c:numCache>
                <c:formatCode>General</c:formatCode>
                <c:ptCount val="5"/>
                <c:pt idx="0" formatCode="#,##0.0">
                  <c:v>26.8674</c:v>
                </c:pt>
                <c:pt idx="1">
                  <c:v>96.122899999999973</c:v>
                </c:pt>
                <c:pt idx="2" formatCode="#,##0.0">
                  <c:v>310.62369999999999</c:v>
                </c:pt>
                <c:pt idx="3" formatCode="#,##0.0">
                  <c:v>180.34530000000001</c:v>
                </c:pt>
                <c:pt idx="4" formatCode="#,##0.0">
                  <c:v>9.3700000000000061E-2</c:v>
                </c:pt>
              </c:numCache>
            </c:numRef>
          </c:val>
        </c:ser>
        <c:dLbls>
          <c:showVal val="1"/>
        </c:dLbls>
        <c:firstSliceAng val="5"/>
        <c:holeSize val="50"/>
      </c:doughnutChart>
    </c:plotArea>
    <c:legend>
      <c:legendPos val="r"/>
      <c:layout>
        <c:manualLayout>
          <c:xMode val="edge"/>
          <c:yMode val="edge"/>
          <c:x val="0.6861506059196778"/>
          <c:y val="0.33673151891489761"/>
          <c:w val="0.28707453319862536"/>
          <c:h val="0.3431538515285032"/>
        </c:manualLayout>
      </c:layout>
      <c:txPr>
        <a:bodyPr/>
        <a:lstStyle/>
        <a:p>
          <a:pPr rtl="0">
            <a:defRPr/>
          </a:pPr>
          <a:endParaRPr lang="cs-CZ"/>
        </a:p>
      </c:txPr>
    </c:legend>
    <c:plotVisOnly val="1"/>
    <c:dispBlanksAs val="zero"/>
  </c:chart>
  <c:txPr>
    <a:bodyPr/>
    <a:lstStyle/>
    <a:p>
      <a:pPr>
        <a:defRPr sz="1000">
          <a:latin typeface="Arial" pitchFamily="34" charset="0"/>
          <a:cs typeface="Arial" pitchFamily="34" charset="0"/>
        </a:defRPr>
      </a:pPr>
      <a:endParaRPr lang="cs-CZ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plotArea>
      <c:layout>
        <c:manualLayout>
          <c:layoutTarget val="inner"/>
          <c:xMode val="edge"/>
          <c:yMode val="edge"/>
          <c:x val="0.12439296327628474"/>
          <c:y val="5.4220568652283141E-2"/>
          <c:w val="0.85443937563360162"/>
          <c:h val="0.56477381503782642"/>
        </c:manualLayout>
      </c:layout>
      <c:barChart>
        <c:barDir val="col"/>
        <c:grouping val="clustered"/>
        <c:ser>
          <c:idx val="0"/>
          <c:order val="0"/>
          <c:tx>
            <c:strRef>
              <c:f>Graf_2!$D$18</c:f>
              <c:strCache>
                <c:ptCount val="1"/>
                <c:pt idx="0">
                  <c:v>Mzdová sféra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dLbls>
            <c:delete val="1"/>
          </c:dLbls>
          <c:cat>
            <c:strRef>
              <c:f>Graf_2!$C$19:$C$27</c:f>
              <c:strCache>
                <c:ptCount val="9"/>
                <c:pt idx="0">
                  <c:v>1
Řídící
pracovníci</c:v>
                </c:pt>
                <c:pt idx="1">
                  <c:v>2
Specialisté</c:v>
                </c:pt>
                <c:pt idx="2">
                  <c:v>3
Techničtí a
odborní 
pracovníci</c:v>
                </c:pt>
                <c:pt idx="3">
                  <c:v>4
Úředníci</c:v>
                </c:pt>
                <c:pt idx="4">
                  <c:v>5
Pracovníci
ve službách
a prodeji</c:v>
                </c:pt>
                <c:pt idx="5">
                  <c:v>6
Kvalifikovaní
pracovníci
v zeměděl.</c:v>
                </c:pt>
                <c:pt idx="6">
                  <c:v>7
Řemeslníci
a opraváři</c:v>
                </c:pt>
                <c:pt idx="7">
                  <c:v>8
Obsluha
strojů a
zařízení,
montéři</c:v>
                </c:pt>
                <c:pt idx="8">
                  <c:v>9
Pomocní a
nekvalif.
pracovníci</c:v>
                </c:pt>
              </c:strCache>
            </c:strRef>
          </c:cat>
          <c:val>
            <c:numRef>
              <c:f>Graf_2!$D$19:$D$27</c:f>
              <c:numCache>
                <c:formatCode>#,##0</c:formatCode>
                <c:ptCount val="9"/>
                <c:pt idx="0">
                  <c:v>38819.891900000002</c:v>
                </c:pt>
                <c:pt idx="1">
                  <c:v>34098.087500000001</c:v>
                </c:pt>
                <c:pt idx="2">
                  <c:v>25004.260999999999</c:v>
                </c:pt>
                <c:pt idx="3">
                  <c:v>20302.572899999999</c:v>
                </c:pt>
                <c:pt idx="4">
                  <c:v>13437.581899999996</c:v>
                </c:pt>
                <c:pt idx="5">
                  <c:v>17569.436099999999</c:v>
                </c:pt>
                <c:pt idx="6">
                  <c:v>20156.894100000001</c:v>
                </c:pt>
                <c:pt idx="7">
                  <c:v>19705.982800000013</c:v>
                </c:pt>
                <c:pt idx="8">
                  <c:v>13893.988499999996</c:v>
                </c:pt>
              </c:numCache>
            </c:numRef>
          </c:val>
        </c:ser>
        <c:ser>
          <c:idx val="1"/>
          <c:order val="1"/>
          <c:tx>
            <c:strRef>
              <c:f>Graf_2!$E$18</c:f>
              <c:strCache>
                <c:ptCount val="1"/>
                <c:pt idx="0">
                  <c:v>Platová sféra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dLbls>
            <c:delete val="1"/>
          </c:dLbls>
          <c:cat>
            <c:strRef>
              <c:f>Graf_2!$C$19:$C$27</c:f>
              <c:strCache>
                <c:ptCount val="9"/>
                <c:pt idx="0">
                  <c:v>1
Řídící
pracovníci</c:v>
                </c:pt>
                <c:pt idx="1">
                  <c:v>2
Specialisté</c:v>
                </c:pt>
                <c:pt idx="2">
                  <c:v>3
Techničtí a
odborní 
pracovníci</c:v>
                </c:pt>
                <c:pt idx="3">
                  <c:v>4
Úředníci</c:v>
                </c:pt>
                <c:pt idx="4">
                  <c:v>5
Pracovníci
ve službách
a prodeji</c:v>
                </c:pt>
                <c:pt idx="5">
                  <c:v>6
Kvalifikovaní
pracovníci
v zeměděl.</c:v>
                </c:pt>
                <c:pt idx="6">
                  <c:v>7
Řemeslníci
a opraváři</c:v>
                </c:pt>
                <c:pt idx="7">
                  <c:v>8
Obsluha
strojů a
zařízení,
montéři</c:v>
                </c:pt>
                <c:pt idx="8">
                  <c:v>9
Pomocní a
nekvalif.
pracovníci</c:v>
                </c:pt>
              </c:strCache>
            </c:strRef>
          </c:cat>
          <c:val>
            <c:numRef>
              <c:f>Graf_2!$E$19:$E$27</c:f>
              <c:numCache>
                <c:formatCode>#,##0</c:formatCode>
                <c:ptCount val="9"/>
                <c:pt idx="0">
                  <c:v>36064.823000000004</c:v>
                </c:pt>
                <c:pt idx="1">
                  <c:v>25407.868399999999</c:v>
                </c:pt>
                <c:pt idx="2">
                  <c:v>24679.811599999994</c:v>
                </c:pt>
                <c:pt idx="3">
                  <c:v>20504.882300000001</c:v>
                </c:pt>
                <c:pt idx="4">
                  <c:v>16520.769</c:v>
                </c:pt>
                <c:pt idx="5">
                  <c:v>15874.5</c:v>
                </c:pt>
                <c:pt idx="6">
                  <c:v>18499.8024</c:v>
                </c:pt>
                <c:pt idx="7">
                  <c:v>19908.066699999999</c:v>
                </c:pt>
                <c:pt idx="8">
                  <c:v>11742.3333</c:v>
                </c:pt>
              </c:numCache>
            </c:numRef>
          </c:val>
        </c:ser>
        <c:dLbls>
          <c:showVal val="1"/>
        </c:dLbls>
        <c:gapWidth val="100"/>
        <c:axId val="103163776"/>
        <c:axId val="91643904"/>
      </c:barChart>
      <c:catAx>
        <c:axId val="103163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Hla</a:t>
                </a:r>
                <a:r>
                  <a:rPr lang="cs-CZ"/>
                  <a:t>vní třída zaměstnání CZ-ISCO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35710912995379712"/>
              <c:y val="0.8259025599132277"/>
            </c:manualLayout>
          </c:layout>
        </c:title>
        <c:tickLblPos val="nextTo"/>
        <c:txPr>
          <a:bodyPr rot="0" vert="horz"/>
          <a:lstStyle/>
          <a:p>
            <a:pPr>
              <a:defRPr sz="800"/>
            </a:pPr>
            <a:endParaRPr lang="cs-CZ"/>
          </a:p>
        </c:txPr>
        <c:crossAx val="91643904"/>
        <c:crosses val="autoZero"/>
        <c:auto val="1"/>
        <c:lblAlgn val="ctr"/>
        <c:lblOffset val="100"/>
        <c:tickLblSkip val="1"/>
      </c:catAx>
      <c:valAx>
        <c:axId val="91643904"/>
        <c:scaling>
          <c:orientation val="minMax"/>
          <c:max val="40000"/>
        </c:scaling>
        <c:axPos val="l"/>
        <c:majorGridlines>
          <c:spPr>
            <a:ln>
              <a:solidFill>
                <a:schemeClr val="tx1"/>
              </a:solidFill>
              <a:prstDash val="sys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cs-CZ"/>
                  <a:t>Medián mzdy</a:t>
                </a:r>
                <a:r>
                  <a:rPr lang="en-US"/>
                  <a:t>/</a:t>
                </a:r>
                <a:r>
                  <a:rPr lang="cs-CZ"/>
                  <a:t>platu</a:t>
                </a:r>
                <a:r>
                  <a:rPr lang="en-US"/>
                  <a:t> [%]</a:t>
                </a:r>
              </a:p>
            </c:rich>
          </c:tx>
          <c:layout>
            <c:manualLayout>
              <c:xMode val="edge"/>
              <c:yMode val="edge"/>
              <c:x val="7.1344222468059278E-3"/>
              <c:y val="8.3592253670993863E-2"/>
            </c:manualLayout>
          </c:layout>
        </c:title>
        <c:numFmt formatCode="#,##0" sourceLinked="1"/>
        <c:tickLblPos val="nextTo"/>
        <c:txPr>
          <a:bodyPr/>
          <a:lstStyle/>
          <a:p>
            <a:pPr>
              <a:defRPr sz="900"/>
            </a:pPr>
            <a:endParaRPr lang="cs-CZ"/>
          </a:p>
        </c:txPr>
        <c:crossAx val="103163776"/>
        <c:crosses val="autoZero"/>
        <c:crossBetween val="between"/>
        <c:majorUnit val="10000"/>
      </c:valAx>
      <c:spPr>
        <a:ln>
          <a:solidFill>
            <a:schemeClr val="bg1">
              <a:lumMod val="50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3770174182772619"/>
          <c:y val="0.90952192985467051"/>
          <c:w val="0.54987574295148645"/>
          <c:h val="8.92403032954215E-2"/>
        </c:manualLayout>
      </c:layout>
      <c:txPr>
        <a:bodyPr/>
        <a:lstStyle/>
        <a:p>
          <a:pPr>
            <a:defRPr sz="1100" b="1"/>
          </a:pPr>
          <a:endParaRPr lang="cs-CZ"/>
        </a:p>
      </c:txPr>
    </c:legend>
    <c:plotVisOnly val="1"/>
    <c:dispBlanksAs val="gap"/>
  </c:chart>
  <c:txPr>
    <a:bodyPr/>
    <a:lstStyle/>
    <a:p>
      <a:pPr>
        <a:defRPr>
          <a:latin typeface="Arial" pitchFamily="34" charset="0"/>
          <a:cs typeface="Arial" pitchFamily="34" charset="0"/>
        </a:defRPr>
      </a:pPr>
      <a:endParaRPr lang="cs-CZ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0.03161</cdr:x>
      <cdr:y>0.05629</cdr:y>
    </cdr:from>
    <cdr:to>
      <cdr:x>0.24644</cdr:x>
      <cdr:y>0.20482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147819" y="178004"/>
          <a:ext cx="1004706" cy="4696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cs-CZ" sz="1200" b="1">
              <a:latin typeface="Arial" pitchFamily="34" charset="0"/>
              <a:cs typeface="Arial" pitchFamily="34" charset="0"/>
            </a:rPr>
            <a:t>PLATOVÁ</a:t>
          </a:r>
          <a:r>
            <a:rPr lang="cs-CZ" sz="1200" b="1" baseline="0">
              <a:latin typeface="Arial" pitchFamily="34" charset="0"/>
              <a:cs typeface="Arial" pitchFamily="34" charset="0"/>
            </a:rPr>
            <a:t> SFÉRA</a:t>
          </a:r>
          <a:endParaRPr lang="cs-CZ" sz="1200" b="1">
            <a:latin typeface="Arial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0.25662</cdr:x>
      <cdr:y>0.45199</cdr:y>
    </cdr:from>
    <cdr:to>
      <cdr:x>0.48357</cdr:x>
      <cdr:y>0.57284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1200151" y="1429328"/>
          <a:ext cx="1061398" cy="3821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cs-CZ" sz="1200" b="1" baseline="0">
              <a:latin typeface="Arial" pitchFamily="34" charset="0"/>
              <a:cs typeface="Arial" pitchFamily="34" charset="0"/>
            </a:rPr>
            <a:t>MZDOVÁ SFÉRA</a:t>
          </a:r>
          <a:endParaRPr lang="cs-CZ" sz="1200" b="1">
            <a:latin typeface="Arial" pitchFamily="34" charset="0"/>
            <a:cs typeface="Arial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2989-8EFD-4C92-AD60-7E8A9D9D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výsledkům ISPV za 1. pololetí 2011</vt:lpstr>
    </vt:vector>
  </TitlesOfParts>
  <Company>TREXIMA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výsledkům ISPV za 1. pololetí 2012</dc:title>
  <dc:subject>ISPV 1. pololetí 2012</dc:subject>
  <dc:creator>TREXIMA, spol. s r.o.</dc:creator>
  <cp:keywords>ISPV, ISPV-MZS, ISPV-PLS, mzdy, platy, výdělky</cp:keywords>
  <cp:lastModifiedBy>Mrázek Pavel</cp:lastModifiedBy>
  <cp:revision>2</cp:revision>
  <cp:lastPrinted>2012-09-21T09:14:00Z</cp:lastPrinted>
  <dcterms:created xsi:type="dcterms:W3CDTF">2012-09-24T10:42:00Z</dcterms:created>
  <dcterms:modified xsi:type="dcterms:W3CDTF">2012-09-24T10:42:00Z</dcterms:modified>
  <cp:category>ISPV</cp:category>
</cp:coreProperties>
</file>